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shd w:val="clear" w:color="auto" w:fill="FFFFFF"/>
        <w:kinsoku/>
        <w:wordWrap/>
        <w:overflowPunct/>
        <w:topLinePunct w:val="0"/>
        <w:autoSpaceDE/>
        <w:autoSpaceDN/>
        <w:bidi w:val="0"/>
        <w:spacing w:line="600" w:lineRule="exact"/>
        <w:jc w:val="center"/>
        <w:textAlignment w:val="auto"/>
        <w:rPr>
          <w:rFonts w:ascii="方正小标宋_GBK" w:hAnsi="宋体" w:eastAsia="方正小标宋_GBK" w:cs="宋体"/>
          <w:bCs/>
          <w:kern w:val="0"/>
          <w:sz w:val="44"/>
          <w:szCs w:val="36"/>
          <w:highlight w:val="none"/>
        </w:rPr>
      </w:pPr>
      <w:r>
        <w:rPr>
          <w:rFonts w:hint="eastAsia" w:ascii="方正小标宋_GBK" w:hAnsi="宋体" w:eastAsia="方正小标宋_GBK" w:cs="宋体"/>
          <w:bCs/>
          <w:kern w:val="0"/>
          <w:sz w:val="44"/>
          <w:szCs w:val="36"/>
          <w:highlight w:val="none"/>
        </w:rPr>
        <w:t>202</w:t>
      </w:r>
      <w:r>
        <w:rPr>
          <w:rFonts w:hint="default" w:ascii="方正小标宋_GBK" w:hAnsi="宋体" w:eastAsia="方正小标宋_GBK" w:cs="宋体"/>
          <w:bCs/>
          <w:kern w:val="0"/>
          <w:sz w:val="44"/>
          <w:szCs w:val="36"/>
          <w:highlight w:val="none"/>
          <w:lang w:val="en"/>
        </w:rPr>
        <w:t>1</w:t>
      </w:r>
      <w:r>
        <w:rPr>
          <w:rFonts w:hint="eastAsia" w:ascii="方正小标宋_GBK" w:hAnsi="宋体" w:eastAsia="方正小标宋_GBK" w:cs="宋体"/>
          <w:bCs/>
          <w:kern w:val="0"/>
          <w:sz w:val="44"/>
          <w:szCs w:val="36"/>
          <w:highlight w:val="none"/>
        </w:rPr>
        <w:t>年国家</w:t>
      </w:r>
      <w:r>
        <w:rPr>
          <w:rFonts w:ascii="方正小标宋_GBK" w:hAnsi="宋体" w:eastAsia="方正小标宋_GBK" w:cs="宋体"/>
          <w:bCs/>
          <w:kern w:val="0"/>
          <w:sz w:val="44"/>
          <w:szCs w:val="36"/>
          <w:highlight w:val="none"/>
        </w:rPr>
        <w:t>统计局</w:t>
      </w:r>
      <w:r>
        <w:rPr>
          <w:rFonts w:hint="eastAsia" w:ascii="方正小标宋_GBK" w:hAnsi="宋体" w:eastAsia="方正小标宋_GBK" w:cs="宋体"/>
          <w:bCs/>
          <w:kern w:val="0"/>
          <w:sz w:val="44"/>
          <w:szCs w:val="36"/>
          <w:highlight w:val="none"/>
        </w:rPr>
        <w:t>政府信息公开工作报告</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default" w:ascii="仿宋_GB2312" w:hAnsi="黑体" w:eastAsia="仿宋_GB2312" w:cs="宋体"/>
          <w:bCs/>
          <w:kern w:val="0"/>
          <w:sz w:val="32"/>
          <w:highlight w:val="none"/>
          <w:lang w:val="en"/>
        </w:rPr>
      </w:pP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黑体" w:eastAsia="仿宋_GB2312" w:cs="宋体"/>
          <w:bCs/>
          <w:kern w:val="0"/>
          <w:sz w:val="32"/>
          <w:highlight w:val="none"/>
        </w:rPr>
      </w:pPr>
      <w:r>
        <w:rPr>
          <w:rFonts w:hint="eastAsia" w:ascii="仿宋_GB2312" w:hAnsi="黑体" w:eastAsia="仿宋_GB2312" w:cs="宋体"/>
          <w:bCs/>
          <w:kern w:val="0"/>
          <w:sz w:val="32"/>
          <w:highlight w:val="none"/>
        </w:rPr>
        <w:t>根据</w:t>
      </w:r>
      <w:r>
        <w:rPr>
          <w:rFonts w:ascii="仿宋_GB2312" w:hAnsi="黑体" w:eastAsia="仿宋_GB2312" w:cs="宋体"/>
          <w:bCs/>
          <w:kern w:val="0"/>
          <w:sz w:val="32"/>
          <w:highlight w:val="none"/>
        </w:rPr>
        <w:t>《中华人民共和国政府信息公开条例》（</w:t>
      </w:r>
      <w:r>
        <w:rPr>
          <w:rFonts w:hint="eastAsia" w:ascii="仿宋_GB2312" w:hAnsi="黑体" w:eastAsia="仿宋_GB2312" w:cs="宋体"/>
          <w:bCs/>
          <w:kern w:val="0"/>
          <w:sz w:val="32"/>
          <w:highlight w:val="none"/>
        </w:rPr>
        <w:t>以下</w:t>
      </w:r>
      <w:r>
        <w:rPr>
          <w:rFonts w:ascii="仿宋_GB2312" w:hAnsi="黑体" w:eastAsia="仿宋_GB2312" w:cs="宋体"/>
          <w:bCs/>
          <w:kern w:val="0"/>
          <w:sz w:val="32"/>
          <w:highlight w:val="none"/>
        </w:rPr>
        <w:t>简称《条例》）规定，</w:t>
      </w:r>
      <w:r>
        <w:rPr>
          <w:rFonts w:hint="eastAsia" w:ascii="仿宋_GB2312" w:hAnsi="黑体" w:eastAsia="仿宋_GB2312" w:cs="宋体"/>
          <w:bCs/>
          <w:kern w:val="0"/>
          <w:sz w:val="32"/>
          <w:highlight w:val="none"/>
        </w:rPr>
        <w:t>编制本年度报告，</w:t>
      </w:r>
      <w:r>
        <w:rPr>
          <w:rFonts w:ascii="仿宋_GB2312" w:hAnsi="黑体" w:eastAsia="仿宋_GB2312" w:cs="宋体"/>
          <w:bCs/>
          <w:kern w:val="0"/>
          <w:sz w:val="32"/>
          <w:highlight w:val="none"/>
        </w:rPr>
        <w:t>现予以公布。</w:t>
      </w:r>
      <w:r>
        <w:rPr>
          <w:rFonts w:hint="eastAsia" w:ascii="仿宋_GB2312" w:hAnsi="黑体" w:eastAsia="仿宋_GB2312" w:cs="宋体"/>
          <w:bCs/>
          <w:kern w:val="0"/>
          <w:sz w:val="32"/>
          <w:highlight w:val="none"/>
        </w:rPr>
        <w:t>本报告所列统计数据的期限自202</w:t>
      </w:r>
      <w:r>
        <w:rPr>
          <w:rFonts w:hint="eastAsia" w:ascii="仿宋_GB2312" w:hAnsi="黑体" w:eastAsia="仿宋_GB2312" w:cs="宋体"/>
          <w:bCs/>
          <w:kern w:val="0"/>
          <w:sz w:val="32"/>
          <w:highlight w:val="none"/>
          <w:lang w:val="en-US" w:eastAsia="zh-CN"/>
        </w:rPr>
        <w:t>1</w:t>
      </w:r>
      <w:r>
        <w:rPr>
          <w:rFonts w:hint="eastAsia" w:ascii="仿宋_GB2312" w:hAnsi="黑体" w:eastAsia="仿宋_GB2312" w:cs="宋体"/>
          <w:bCs/>
          <w:kern w:val="0"/>
          <w:sz w:val="32"/>
          <w:highlight w:val="none"/>
        </w:rPr>
        <w:t>年1月1日起至202</w:t>
      </w:r>
      <w:r>
        <w:rPr>
          <w:rFonts w:hint="eastAsia" w:ascii="仿宋_GB2312" w:hAnsi="黑体" w:eastAsia="仿宋_GB2312" w:cs="宋体"/>
          <w:bCs/>
          <w:kern w:val="0"/>
          <w:sz w:val="32"/>
          <w:highlight w:val="none"/>
          <w:lang w:val="en-US" w:eastAsia="zh-CN"/>
        </w:rPr>
        <w:t>1</w:t>
      </w:r>
      <w:r>
        <w:rPr>
          <w:rFonts w:hint="eastAsia" w:ascii="仿宋_GB2312" w:hAnsi="黑体" w:eastAsia="仿宋_GB2312" w:cs="宋体"/>
          <w:bCs/>
          <w:kern w:val="0"/>
          <w:sz w:val="32"/>
          <w:highlight w:val="none"/>
        </w:rPr>
        <w:t>年12月31日止。本报告电子版可从国家统计局网站（http://www.stats.gov.cn/）下载。</w:t>
      </w:r>
    </w:p>
    <w:p>
      <w:pPr>
        <w:keepNext w:val="0"/>
        <w:keepLines w:val="0"/>
        <w:pageBreakBefore w:val="0"/>
        <w:widowControl w:val="0"/>
        <w:shd w:val="clear" w:color="auto" w:fill="FFFFFF"/>
        <w:kinsoku/>
        <w:wordWrap/>
        <w:overflowPunct/>
        <w:topLinePunct w:val="0"/>
        <w:autoSpaceDE/>
        <w:autoSpaceDN/>
        <w:bidi w:val="0"/>
        <w:spacing w:line="600" w:lineRule="exact"/>
        <w:ind w:firstLine="640" w:firstLineChars="200"/>
        <w:textAlignment w:val="auto"/>
        <w:outlineLvl w:val="0"/>
        <w:rPr>
          <w:rFonts w:ascii="黑体" w:hAnsi="黑体" w:eastAsia="黑体" w:cs="宋体"/>
          <w:bCs/>
          <w:kern w:val="0"/>
          <w:sz w:val="32"/>
          <w:szCs w:val="32"/>
          <w:highlight w:val="none"/>
        </w:rPr>
      </w:pPr>
      <w:r>
        <w:rPr>
          <w:rFonts w:hint="eastAsia" w:ascii="黑体" w:hAnsi="黑体" w:eastAsia="黑体" w:cs="宋体"/>
          <w:bCs/>
          <w:kern w:val="0"/>
          <w:sz w:val="32"/>
          <w:szCs w:val="32"/>
          <w:highlight w:val="none"/>
          <w:lang w:val="en-US" w:eastAsia="zh-CN"/>
        </w:rPr>
        <w:t>一、</w:t>
      </w:r>
      <w:r>
        <w:rPr>
          <w:rFonts w:hint="eastAsia" w:ascii="黑体" w:hAnsi="黑体" w:eastAsia="黑体" w:cs="宋体"/>
          <w:bCs/>
          <w:kern w:val="0"/>
          <w:sz w:val="32"/>
          <w:szCs w:val="32"/>
          <w:highlight w:val="none"/>
        </w:rPr>
        <w:t>总体情况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仿宋_GB2312" w:cs="Times New Roman"/>
          <w:color w:val="auto"/>
          <w:sz w:val="32"/>
          <w:highlight w:val="none"/>
          <w:lang w:eastAsia="zh-CN"/>
        </w:rPr>
      </w:pPr>
      <w:r>
        <w:rPr>
          <w:rFonts w:hint="eastAsia" w:ascii="仿宋_GB2312" w:eastAsia="仿宋_GB2312"/>
          <w:color w:val="auto"/>
          <w:sz w:val="32"/>
          <w:highlight w:val="none"/>
        </w:rPr>
        <w:t>202</w:t>
      </w:r>
      <w:r>
        <w:rPr>
          <w:rFonts w:hint="eastAsia" w:ascii="仿宋_GB2312" w:eastAsia="仿宋_GB2312"/>
          <w:color w:val="auto"/>
          <w:sz w:val="32"/>
          <w:highlight w:val="none"/>
          <w:lang w:val="en-US" w:eastAsia="zh-CN"/>
        </w:rPr>
        <w:t>1</w:t>
      </w:r>
      <w:r>
        <w:rPr>
          <w:rFonts w:hint="eastAsia" w:ascii="仿宋_GB2312" w:eastAsia="仿宋_GB2312"/>
          <w:color w:val="auto"/>
          <w:sz w:val="32"/>
          <w:highlight w:val="none"/>
        </w:rPr>
        <w:t>年，国家统计局</w:t>
      </w:r>
      <w:r>
        <w:rPr>
          <w:rFonts w:hint="eastAsia" w:ascii="仿宋_GB2312" w:eastAsia="仿宋_GB2312"/>
          <w:color w:val="auto"/>
          <w:sz w:val="32"/>
          <w:highlight w:val="none"/>
          <w:lang w:eastAsia="zh-CN"/>
        </w:rPr>
        <w:t>坚持</w:t>
      </w:r>
      <w:r>
        <w:rPr>
          <w:rFonts w:hint="eastAsia" w:ascii="仿宋_GB2312" w:eastAsia="仿宋_GB2312"/>
          <w:color w:val="auto"/>
          <w:sz w:val="32"/>
          <w:highlight w:val="none"/>
        </w:rPr>
        <w:t>以习近平新时代中国特色社会主义思想为指导，全面贯彻党的十九大和十九届</w:t>
      </w:r>
      <w:r>
        <w:rPr>
          <w:rFonts w:hint="eastAsia" w:ascii="仿宋_GB2312" w:eastAsia="仿宋_GB2312"/>
          <w:color w:val="auto"/>
          <w:sz w:val="32"/>
          <w:highlight w:val="none"/>
          <w:lang w:eastAsia="zh-CN"/>
        </w:rPr>
        <w:t>历次</w:t>
      </w:r>
      <w:r>
        <w:rPr>
          <w:rFonts w:hint="eastAsia" w:ascii="仿宋_GB2312" w:eastAsia="仿宋_GB2312"/>
          <w:color w:val="auto"/>
          <w:sz w:val="32"/>
          <w:highlight w:val="none"/>
        </w:rPr>
        <w:t>全会精神</w:t>
      </w:r>
      <w:r>
        <w:rPr>
          <w:rFonts w:hint="eastAsia" w:ascii="仿宋_GB2312" w:hAnsi="Times New Roman" w:eastAsia="仿宋_GB2312" w:cs="Times New Roman"/>
          <w:color w:val="auto"/>
          <w:sz w:val="32"/>
          <w:highlight w:val="none"/>
        </w:rPr>
        <w:t>，认真落实党中央、国务院关于政务公开工作决策部署，严格执行《条例》</w:t>
      </w:r>
      <w:r>
        <w:rPr>
          <w:rFonts w:hint="eastAsia" w:ascii="仿宋_GB2312" w:hAnsi="Times New Roman" w:eastAsia="仿宋_GB2312" w:cs="Times New Roman"/>
          <w:color w:val="auto"/>
          <w:sz w:val="32"/>
          <w:highlight w:val="none"/>
          <w:lang w:eastAsia="zh-CN"/>
        </w:rPr>
        <w:t>和国务院办公厅《2021年政务公开工作要点》</w:t>
      </w:r>
      <w:r>
        <w:rPr>
          <w:rFonts w:hint="eastAsia" w:ascii="仿宋_GB2312" w:hAnsi="Times New Roman" w:eastAsia="仿宋_GB2312" w:cs="Times New Roman"/>
          <w:color w:val="auto"/>
          <w:sz w:val="32"/>
          <w:highlight w:val="none"/>
        </w:rPr>
        <w:t>，</w:t>
      </w:r>
      <w:r>
        <w:rPr>
          <w:rFonts w:hint="eastAsia" w:ascii="仿宋_GB2312" w:hAnsi="Times New Roman" w:eastAsia="仿宋_GB2312" w:cs="Times New Roman"/>
          <w:color w:val="auto"/>
          <w:sz w:val="32"/>
          <w:highlight w:val="none"/>
          <w:lang w:eastAsia="zh-CN"/>
        </w:rPr>
        <w:t>紧紧围绕统计重点工作和人民群众关心关切，扎实推进</w:t>
      </w:r>
      <w:r>
        <w:rPr>
          <w:rFonts w:hint="eastAsia" w:ascii="仿宋_GB2312" w:eastAsia="仿宋_GB2312"/>
          <w:color w:val="auto"/>
          <w:sz w:val="32"/>
          <w:highlight w:val="none"/>
          <w:lang w:eastAsia="zh-CN"/>
        </w:rPr>
        <w:t>政府信息公开工作，</w:t>
      </w:r>
      <w:r>
        <w:rPr>
          <w:rFonts w:hint="eastAsia" w:ascii="仿宋_GB2312" w:hAnsi="Times New Roman" w:eastAsia="仿宋_GB2312" w:cs="Times New Roman"/>
          <w:color w:val="auto"/>
          <w:sz w:val="32"/>
          <w:highlight w:val="none"/>
          <w:lang w:eastAsia="zh-CN"/>
        </w:rPr>
        <w:t>政府统计公信力、透明度、影响力显著提升。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仿宋_GB2312" w:cs="Times New Roman"/>
          <w:b w:val="0"/>
          <w:bCs w:val="0"/>
          <w:color w:val="auto"/>
          <w:sz w:val="32"/>
          <w:highlight w:val="none"/>
          <w:lang w:eastAsia="zh-CN"/>
        </w:rPr>
      </w:pPr>
      <w:r>
        <w:rPr>
          <w:rFonts w:hint="eastAsia" w:ascii="楷体_GB2312" w:hAnsi="楷体_GB2312" w:eastAsia="楷体_GB2312" w:cs="楷体_GB2312"/>
          <w:sz w:val="32"/>
          <w:szCs w:val="32"/>
          <w:highlight w:val="none"/>
          <w:lang w:val="en-US" w:eastAsia="zh-CN"/>
        </w:rPr>
        <w:t>（一）全面加强主动公开。</w:t>
      </w:r>
      <w:r>
        <w:rPr>
          <w:rFonts w:hint="eastAsia" w:ascii="仿宋_GB2312" w:hAnsi="Times New Roman" w:eastAsia="仿宋_GB2312" w:cs="Times New Roman"/>
          <w:b/>
          <w:bCs/>
          <w:color w:val="auto"/>
          <w:sz w:val="32"/>
          <w:highlight w:val="none"/>
          <w:lang w:eastAsia="zh-CN"/>
        </w:rPr>
        <w:t>及时发布统计数据。</w:t>
      </w:r>
      <w:r>
        <w:rPr>
          <w:rFonts w:hint="eastAsia" w:ascii="仿宋_GB2312" w:hAnsi="Times New Roman" w:eastAsia="仿宋_GB2312" w:cs="Times New Roman"/>
          <w:b w:val="0"/>
          <w:bCs w:val="0"/>
          <w:color w:val="auto"/>
          <w:sz w:val="32"/>
          <w:highlight w:val="none"/>
          <w:lang w:eastAsia="zh-CN"/>
        </w:rPr>
        <w:t>严格按照日程表发布常规统计数据，召开11场国民经济运行情况新闻发布会，发布新闻稿221篇。</w:t>
      </w:r>
      <w:r>
        <w:rPr>
          <w:rFonts w:hint="eastAsia" w:ascii="仿宋_GB2312" w:hAnsi="Times New Roman" w:eastAsia="仿宋_GB2312" w:cs="Times New Roman"/>
          <w:b/>
          <w:bCs/>
          <w:color w:val="auto"/>
          <w:sz w:val="32"/>
          <w:highlight w:val="none"/>
          <w:lang w:eastAsia="zh-CN"/>
        </w:rPr>
        <w:t>主动解读经济形势。</w:t>
      </w:r>
      <w:r>
        <w:rPr>
          <w:rFonts w:hint="eastAsia" w:ascii="仿宋_GB2312" w:hAnsi="Times New Roman" w:eastAsia="仿宋_GB2312" w:cs="Times New Roman"/>
          <w:b w:val="0"/>
          <w:bCs w:val="0"/>
          <w:color w:val="auto"/>
          <w:sz w:val="32"/>
          <w:highlight w:val="none"/>
          <w:lang w:eastAsia="zh-CN"/>
        </w:rPr>
        <w:t>强化权威发声解读，在年度、季度主要数据发布时，国家统计局主要负责人通过主流媒体发表多篇署名文章，解读经济社会发展形势。坚持落实新闻发言人、专业司主要负责人、统计师常规数据解读机制，发布解读稿150篇。</w:t>
      </w:r>
      <w:r>
        <w:rPr>
          <w:rFonts w:hint="eastAsia" w:ascii="仿宋_GB2312" w:hAnsi="Times New Roman" w:eastAsia="仿宋_GB2312" w:cs="Times New Roman"/>
          <w:b/>
          <w:bCs/>
          <w:color w:val="auto"/>
          <w:sz w:val="32"/>
          <w:highlight w:val="none"/>
          <w:lang w:eastAsia="zh-CN"/>
        </w:rPr>
        <w:t>全力宣传建党百年成就。</w:t>
      </w:r>
      <w:r>
        <w:rPr>
          <w:rFonts w:hint="eastAsia" w:ascii="仿宋_GB2312" w:hAnsi="Times New Roman" w:eastAsia="仿宋_GB2312" w:cs="Times New Roman"/>
          <w:b w:val="0"/>
          <w:bCs w:val="0"/>
          <w:color w:val="auto"/>
          <w:sz w:val="32"/>
          <w:highlight w:val="none"/>
          <w:lang w:eastAsia="zh-CN"/>
        </w:rPr>
        <w:t>编辑出版《全面建成小康社会成就报告》《迈向高质量发展——“十三五”经济社会发展成就报告》《人间奇迹——中国脱贫攻坚统计监测报告》等系列主题图书。在门户网站、官方微信创建“党史学习教育”专题，展示统计系统开展党史学习教育进展和成效。成功举办第十二届中国统计开放日。</w:t>
      </w:r>
      <w:r>
        <w:rPr>
          <w:rFonts w:hint="eastAsia" w:ascii="仿宋_GB2312" w:hAnsi="Times New Roman" w:eastAsia="仿宋_GB2312" w:cs="Times New Roman"/>
          <w:b/>
          <w:bCs/>
          <w:color w:val="auto"/>
          <w:sz w:val="32"/>
          <w:highlight w:val="none"/>
          <w:lang w:eastAsia="zh-CN"/>
        </w:rPr>
        <w:t>积极公开统计现代化改革相关信息。</w:t>
      </w:r>
      <w:r>
        <w:rPr>
          <w:rFonts w:hint="eastAsia" w:ascii="仿宋_GB2312" w:hAnsi="Times New Roman" w:eastAsia="仿宋_GB2312" w:cs="Times New Roman"/>
          <w:b w:val="0"/>
          <w:bCs w:val="0"/>
          <w:color w:val="auto"/>
          <w:sz w:val="32"/>
          <w:highlight w:val="none"/>
          <w:lang w:eastAsia="zh-CN"/>
        </w:rPr>
        <w:t>发布《“十四五”时期统计现代化改革规划》《全国统计法治宣传教育第八个五年规划（2021—2025年）》和《国家统计局深化“证照分离”改革实施方案》等文件。</w:t>
      </w:r>
      <w:r>
        <w:rPr>
          <w:rFonts w:hint="eastAsia" w:ascii="仿宋_GB2312" w:hAnsi="Times New Roman" w:eastAsia="仿宋_GB2312" w:cs="Times New Roman"/>
          <w:b/>
          <w:bCs/>
          <w:color w:val="auto"/>
          <w:sz w:val="32"/>
          <w:highlight w:val="none"/>
          <w:lang w:eastAsia="zh-CN"/>
        </w:rPr>
        <w:t>认真做好政务管理信息公开。</w:t>
      </w:r>
      <w:r>
        <w:rPr>
          <w:rFonts w:hint="eastAsia" w:ascii="仿宋_GB2312" w:hAnsi="Times New Roman" w:eastAsia="仿宋_GB2312" w:cs="Times New Roman"/>
          <w:b w:val="0"/>
          <w:bCs w:val="0"/>
          <w:color w:val="auto"/>
          <w:sz w:val="32"/>
          <w:highlight w:val="none"/>
          <w:lang w:eastAsia="zh-CN"/>
        </w:rPr>
        <w:t>集中公开现行有效行政法规文本、部门规章和规范性文件。更新经审批的106项部门统计调查项目和447项地方统计调查项目。实现涉外统计调查机构资格认定全程网上办理，向149家机构颁发涉外调查许可证。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r>
        <w:rPr>
          <w:rFonts w:hint="eastAsia" w:ascii="仿宋_GB2312" w:eastAsia="仿宋_GB2312"/>
          <w:color w:val="auto"/>
          <w:sz w:val="32"/>
          <w:szCs w:val="32"/>
          <w:highlight w:val="none"/>
          <w:lang w:eastAsia="zh-CN"/>
        </w:rPr>
        <w:drawing>
          <wp:anchor distT="0" distB="0" distL="114300" distR="114300" simplePos="0" relativeHeight="251660288" behindDoc="0" locked="0" layoutInCell="1" allowOverlap="1">
            <wp:simplePos x="0" y="0"/>
            <wp:positionH relativeFrom="column">
              <wp:align>center</wp:align>
            </wp:positionH>
            <wp:positionV relativeFrom="paragraph">
              <wp:posOffset>361315</wp:posOffset>
            </wp:positionV>
            <wp:extent cx="4820285" cy="3769360"/>
            <wp:effectExtent l="0" t="0" r="18415" b="2540"/>
            <wp:wrapSquare wrapText="bothSides"/>
            <wp:docPr id="3" name="图片 16" descr="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6" descr="111"/>
                    <pic:cNvPicPr>
                      <a:picLocks noChangeAspect="true"/>
                    </pic:cNvPicPr>
                  </pic:nvPicPr>
                  <pic:blipFill>
                    <a:blip r:embed="rId5"/>
                    <a:stretch>
                      <a:fillRect/>
                    </a:stretch>
                  </pic:blipFill>
                  <pic:spPr>
                    <a:xfrm>
                      <a:off x="0" y="0"/>
                      <a:ext cx="4820285" cy="376936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仿宋_GB2312" w:cs="Times New Roman"/>
          <w:b w:val="0"/>
          <w:bCs w:val="0"/>
          <w:color w:val="auto"/>
          <w:sz w:val="32"/>
          <w:highlight w:val="none"/>
          <w:lang w:eastAsia="zh-CN"/>
        </w:rPr>
      </w:pPr>
      <w:r>
        <w:rPr>
          <w:rFonts w:hint="eastAsia" w:ascii="楷体_GB2312" w:hAnsi="楷体_GB2312" w:eastAsia="楷体_GB2312" w:cs="楷体_GB2312"/>
          <w:sz w:val="32"/>
          <w:szCs w:val="32"/>
          <w:highlight w:val="none"/>
          <w:lang w:val="en-US" w:eastAsia="zh-CN"/>
        </w:rPr>
        <w:t>（二）持续推进重点领域信息公开。</w:t>
      </w:r>
      <w:r>
        <w:rPr>
          <w:rFonts w:hint="eastAsia" w:ascii="仿宋_GB2312" w:hAnsi="Times New Roman" w:eastAsia="仿宋_GB2312" w:cs="Times New Roman"/>
          <w:b/>
          <w:bCs/>
          <w:color w:val="auto"/>
          <w:sz w:val="32"/>
          <w:highlight w:val="none"/>
          <w:lang w:eastAsia="zh-CN"/>
        </w:rPr>
        <w:t>一是</w:t>
      </w:r>
      <w:r>
        <w:rPr>
          <w:rFonts w:hint="eastAsia" w:ascii="仿宋_GB2312" w:hAnsi="Times New Roman" w:eastAsia="仿宋_GB2312" w:cs="Times New Roman"/>
          <w:b w:val="0"/>
          <w:bCs w:val="0"/>
          <w:color w:val="auto"/>
          <w:sz w:val="32"/>
          <w:highlight w:val="none"/>
          <w:lang w:eastAsia="zh-CN"/>
        </w:rPr>
        <w:t>精心梳理，公开28项国家统计调查制度的简明版本。发布《数字经济及其核心产业统计分类（2021）》《节能环保清洁产业统计分类（2021）》及2021年《统计用区划和城乡划分代码》。</w:t>
      </w:r>
      <w:r>
        <w:rPr>
          <w:rFonts w:hint="eastAsia" w:ascii="仿宋_GB2312" w:hAnsi="Times New Roman" w:eastAsia="仿宋_GB2312" w:cs="Times New Roman"/>
          <w:b/>
          <w:bCs/>
          <w:color w:val="auto"/>
          <w:sz w:val="32"/>
          <w:highlight w:val="none"/>
          <w:lang w:eastAsia="zh-CN"/>
        </w:rPr>
        <w:t>二是</w:t>
      </w:r>
      <w:r>
        <w:rPr>
          <w:rFonts w:hint="eastAsia" w:ascii="仿宋_GB2312" w:hAnsi="Times New Roman" w:eastAsia="仿宋_GB2312" w:cs="Times New Roman"/>
          <w:b w:val="0"/>
          <w:bCs w:val="0"/>
          <w:color w:val="auto"/>
          <w:sz w:val="32"/>
          <w:highlight w:val="none"/>
          <w:lang w:eastAsia="zh-CN"/>
        </w:rPr>
        <w:t>圆满发布国家脱贫攻坚普查和第七次全国人口普查两项普查主要成果。</w:t>
      </w:r>
      <w:r>
        <w:rPr>
          <w:rFonts w:hint="eastAsia" w:ascii="仿宋_GB2312" w:hAnsi="Times New Roman" w:eastAsia="仿宋_GB2312" w:cs="Times New Roman"/>
          <w:b/>
          <w:bCs/>
          <w:color w:val="auto"/>
          <w:sz w:val="32"/>
          <w:highlight w:val="none"/>
          <w:lang w:eastAsia="zh-CN"/>
        </w:rPr>
        <w:t>三是</w:t>
      </w:r>
      <w:r>
        <w:rPr>
          <w:rFonts w:hint="eastAsia" w:ascii="仿宋_GB2312" w:hAnsi="Times New Roman" w:eastAsia="仿宋_GB2312" w:cs="Times New Roman"/>
          <w:b w:val="0"/>
          <w:bCs w:val="0"/>
          <w:color w:val="auto"/>
          <w:sz w:val="32"/>
          <w:highlight w:val="none"/>
          <w:lang w:eastAsia="zh-CN"/>
        </w:rPr>
        <w:t>公开2021年统计督察有关信息22篇，2020年统计督察意见反馈情况和整改落实情况45篇。</w:t>
      </w:r>
      <w:r>
        <w:rPr>
          <w:rFonts w:hint="eastAsia" w:ascii="仿宋_GB2312" w:hAnsi="Times New Roman" w:eastAsia="仿宋_GB2312" w:cs="Times New Roman"/>
          <w:b/>
          <w:bCs/>
          <w:color w:val="auto"/>
          <w:sz w:val="32"/>
          <w:highlight w:val="none"/>
          <w:lang w:eastAsia="zh-CN"/>
        </w:rPr>
        <w:t>四是</w:t>
      </w:r>
      <w:r>
        <w:rPr>
          <w:rFonts w:hint="eastAsia" w:ascii="仿宋_GB2312" w:hAnsi="Times New Roman" w:eastAsia="仿宋_GB2312" w:cs="Times New Roman"/>
          <w:b w:val="0"/>
          <w:bCs w:val="0"/>
          <w:color w:val="auto"/>
          <w:sz w:val="32"/>
          <w:highlight w:val="none"/>
          <w:lang w:eastAsia="zh-CN"/>
        </w:rPr>
        <w:t>认真受理登记涉及统计违纪违法问题举报270件；对61个县（市、区）1900余家企业进行随机抽查；做好统计执法证发放和动态更新；公示统计上严重失信企业49家。</w:t>
      </w:r>
      <w:r>
        <w:rPr>
          <w:rFonts w:hint="eastAsia" w:ascii="仿宋_GB2312" w:hAnsi="Times New Roman" w:eastAsia="仿宋_GB2312" w:cs="Times New Roman"/>
          <w:b/>
          <w:bCs/>
          <w:color w:val="auto"/>
          <w:sz w:val="32"/>
          <w:highlight w:val="none"/>
          <w:lang w:eastAsia="zh-CN"/>
        </w:rPr>
        <w:t>五是</w:t>
      </w:r>
      <w:r>
        <w:rPr>
          <w:rFonts w:hint="eastAsia" w:ascii="仿宋_GB2312" w:hAnsi="Times New Roman" w:eastAsia="仿宋_GB2312" w:cs="Times New Roman"/>
          <w:b w:val="0"/>
          <w:bCs w:val="0"/>
          <w:color w:val="auto"/>
          <w:sz w:val="32"/>
          <w:highlight w:val="none"/>
          <w:lang w:eastAsia="zh-CN"/>
        </w:rPr>
        <w:t>按时公开统计部门预决算，扩大公开范围到二级预算单位，共41家单位参与。</w:t>
      </w:r>
      <w:r>
        <w:rPr>
          <w:rFonts w:hint="eastAsia" w:ascii="仿宋_GB2312" w:hAnsi="Times New Roman" w:eastAsia="仿宋_GB2312" w:cs="Times New Roman"/>
          <w:b/>
          <w:bCs/>
          <w:color w:val="auto"/>
          <w:sz w:val="32"/>
          <w:highlight w:val="none"/>
          <w:lang w:eastAsia="zh-CN"/>
        </w:rPr>
        <w:t>六是</w:t>
      </w:r>
      <w:r>
        <w:rPr>
          <w:rFonts w:hint="eastAsia" w:ascii="仿宋_GB2312" w:hAnsi="Times New Roman" w:eastAsia="仿宋_GB2312" w:cs="Times New Roman"/>
          <w:b w:val="0"/>
          <w:bCs w:val="0"/>
          <w:color w:val="auto"/>
          <w:sz w:val="32"/>
          <w:highlight w:val="none"/>
          <w:lang w:eastAsia="zh-CN"/>
        </w:rPr>
        <w:t>及时公布局领导信息、组织机构信息和重要人事任免信息，公务员招录及企事业单位公开招聘信息。</w:t>
      </w:r>
      <w:r>
        <w:rPr>
          <w:rFonts w:hint="eastAsia" w:ascii="仿宋_GB2312" w:hAnsi="Times New Roman" w:eastAsia="仿宋_GB2312" w:cs="Times New Roman"/>
          <w:b/>
          <w:bCs/>
          <w:color w:val="auto"/>
          <w:sz w:val="32"/>
          <w:highlight w:val="none"/>
          <w:lang w:eastAsia="zh-CN"/>
        </w:rPr>
        <w:t>七是</w:t>
      </w:r>
      <w:r>
        <w:rPr>
          <w:rFonts w:hint="eastAsia" w:ascii="仿宋_GB2312" w:hAnsi="Times New Roman" w:eastAsia="仿宋_GB2312" w:cs="Times New Roman"/>
          <w:b w:val="0"/>
          <w:bCs w:val="0"/>
          <w:color w:val="auto"/>
          <w:sz w:val="32"/>
          <w:highlight w:val="none"/>
          <w:lang w:eastAsia="zh-CN"/>
        </w:rPr>
        <w:t>归集展示政府集中采购项目中标公告6个。八是全文公开10件两会建议提案办理复文。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drawing>
          <wp:anchor distT="0" distB="0" distL="114300" distR="114300" simplePos="0" relativeHeight="251661312" behindDoc="0" locked="0" layoutInCell="1" allowOverlap="1">
            <wp:simplePos x="0" y="0"/>
            <wp:positionH relativeFrom="column">
              <wp:align>center</wp:align>
            </wp:positionH>
            <wp:positionV relativeFrom="paragraph">
              <wp:posOffset>325755</wp:posOffset>
            </wp:positionV>
            <wp:extent cx="4813300" cy="2653030"/>
            <wp:effectExtent l="0" t="0" r="6350" b="13970"/>
            <wp:wrapSquare wrapText="bothSides"/>
            <wp:docPr id="4" name="图片 17" descr="33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7" descr="3333"/>
                    <pic:cNvPicPr>
                      <a:picLocks noChangeAspect="true"/>
                    </pic:cNvPicPr>
                  </pic:nvPicPr>
                  <pic:blipFill>
                    <a:blip r:embed="rId6"/>
                    <a:stretch>
                      <a:fillRect/>
                    </a:stretch>
                  </pic:blipFill>
                  <pic:spPr>
                    <a:xfrm>
                      <a:off x="0" y="0"/>
                      <a:ext cx="4813300" cy="265303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Times New Roman" w:eastAsia="仿宋_GB2312" w:cs="Times New Roman"/>
          <w:color w:val="auto"/>
          <w:spacing w:val="-2"/>
          <w:sz w:val="32"/>
          <w:szCs w:val="28"/>
          <w:highlight w:val="none"/>
          <w:lang w:val="en-US" w:eastAsia="zh-CN"/>
        </w:rPr>
      </w:pPr>
      <w:r>
        <w:rPr>
          <w:rFonts w:hint="eastAsia" w:ascii="楷体_GB2312" w:hAnsi="楷体_GB2312" w:eastAsia="楷体_GB2312" w:cs="楷体_GB2312"/>
          <w:color w:val="auto"/>
          <w:sz w:val="32"/>
          <w:szCs w:val="32"/>
          <w:highlight w:val="none"/>
          <w:lang w:val="en-US" w:eastAsia="zh-CN"/>
        </w:rPr>
        <w:t>（三）</w:t>
      </w:r>
      <w:r>
        <w:rPr>
          <w:rFonts w:hint="eastAsia" w:ascii="楷体_GB2312" w:hAnsi="楷体_GB2312" w:eastAsia="楷体_GB2312" w:cs="楷体_GB2312"/>
          <w:color w:val="auto"/>
          <w:sz w:val="32"/>
          <w:szCs w:val="32"/>
          <w:highlight w:val="none"/>
          <w:lang w:eastAsia="zh-CN"/>
        </w:rPr>
        <w:t>重视拓展平台载体建设。</w:t>
      </w:r>
      <w:r>
        <w:rPr>
          <w:rFonts w:hint="eastAsia" w:ascii="仿宋_GB2312" w:hAnsi="仿宋_GB2312" w:eastAsia="仿宋_GB2312" w:cs="仿宋_GB2312"/>
          <w:b/>
          <w:bCs w:val="0"/>
          <w:color w:val="auto"/>
          <w:sz w:val="32"/>
          <w:szCs w:val="32"/>
          <w:highlight w:val="none"/>
          <w:lang w:eastAsia="zh-CN"/>
        </w:rPr>
        <w:t>加强门户网站建设。</w:t>
      </w:r>
      <w:r>
        <w:rPr>
          <w:rFonts w:hint="eastAsia" w:ascii="仿宋_GB2312" w:hAnsi="Arial" w:eastAsia="仿宋_GB2312"/>
          <w:color w:val="auto"/>
          <w:sz w:val="32"/>
          <w:szCs w:val="32"/>
          <w:highlight w:val="none"/>
          <w:lang w:val="en-US" w:eastAsia="zh-CN"/>
        </w:rPr>
        <w:t>完</w:t>
      </w:r>
      <w:r>
        <w:rPr>
          <w:rFonts w:hint="eastAsia" w:ascii="仿宋_GB2312" w:hAnsi="仿宋_GB2312" w:eastAsia="仿宋_GB2312" w:cs="仿宋_GB2312"/>
          <w:color w:val="auto"/>
          <w:sz w:val="32"/>
          <w:szCs w:val="32"/>
          <w:highlight w:val="none"/>
          <w:lang w:val="en-US" w:eastAsia="zh-CN"/>
        </w:rPr>
        <w:t>成</w:t>
      </w:r>
      <w:r>
        <w:rPr>
          <w:rFonts w:hint="eastAsia" w:ascii="仿宋_GB2312" w:hAnsi="仿宋_GB2312" w:eastAsia="仿宋_GB2312" w:cs="仿宋_GB2312"/>
          <w:color w:val="auto"/>
          <w:kern w:val="2"/>
          <w:sz w:val="32"/>
          <w:szCs w:val="32"/>
          <w:highlight w:val="none"/>
          <w:lang w:val="en-US" w:eastAsia="zh-CN" w:bidi="ar-SA"/>
        </w:rPr>
        <w:t>适老化与无障碍改造</w:t>
      </w:r>
      <w:r>
        <w:rPr>
          <w:rFonts w:hint="eastAsia" w:ascii="仿宋_GB2312" w:hAnsi="仿宋_GB2312" w:eastAsia="仿宋_GB2312" w:cs="仿宋_GB2312"/>
          <w:color w:val="auto"/>
          <w:sz w:val="32"/>
          <w:szCs w:val="32"/>
          <w:highlight w:val="none"/>
          <w:lang w:val="en-US" w:eastAsia="zh-CN"/>
        </w:rPr>
        <w:t>和</w:t>
      </w:r>
      <w:r>
        <w:rPr>
          <w:rFonts w:hint="eastAsia" w:ascii="仿宋_GB2312" w:hAnsi="仿宋_GB2312" w:eastAsia="仿宋_GB2312" w:cs="仿宋_GB2312"/>
          <w:color w:val="auto"/>
          <w:spacing w:val="-2"/>
          <w:sz w:val="32"/>
          <w:szCs w:val="28"/>
          <w:highlight w:val="none"/>
        </w:rPr>
        <w:t>IPv6升级改造</w:t>
      </w:r>
      <w:r>
        <w:rPr>
          <w:rFonts w:hint="eastAsia" w:ascii="仿宋_GB2312" w:hAnsi="仿宋_GB2312" w:eastAsia="仿宋_GB2312" w:cs="仿宋_GB2312"/>
          <w:color w:val="auto"/>
          <w:sz w:val="32"/>
          <w:szCs w:val="32"/>
          <w:highlight w:val="none"/>
          <w:lang w:val="en-US" w:eastAsia="zh-CN"/>
        </w:rPr>
        <w:t>。建设“中国政府网政策文件库”推送接口，实现数据联通。</w:t>
      </w:r>
      <w:r>
        <w:rPr>
          <w:rFonts w:hint="eastAsia" w:ascii="仿宋_GB2312" w:hAnsi="仿宋_GB2312" w:eastAsia="仿宋_GB2312" w:cs="仿宋_GB2312"/>
          <w:color w:val="auto"/>
          <w:sz w:val="32"/>
          <w:szCs w:val="32"/>
          <w:highlight w:val="none"/>
        </w:rPr>
        <w:t>公开政府信息</w:t>
      </w:r>
      <w:r>
        <w:rPr>
          <w:rFonts w:hint="eastAsia" w:ascii="仿宋_GB2312" w:hAnsi="仿宋_GB2312" w:eastAsia="仿宋_GB2312" w:cs="仿宋_GB2312"/>
          <w:color w:val="auto"/>
          <w:sz w:val="32"/>
          <w:szCs w:val="32"/>
          <w:highlight w:val="none"/>
          <w:lang w:val="en-US" w:eastAsia="zh-CN"/>
        </w:rPr>
        <w:t>8102</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b/>
          <w:bCs/>
          <w:color w:val="auto"/>
          <w:sz w:val="32"/>
          <w:szCs w:val="32"/>
          <w:highlight w:val="none"/>
          <w:lang w:val="en-US" w:eastAsia="zh-CN"/>
        </w:rPr>
        <w:t>有序运维数据发布库。</w:t>
      </w:r>
      <w:r>
        <w:rPr>
          <w:rFonts w:hint="eastAsia" w:ascii="仿宋_GB2312" w:hAnsi="仿宋" w:eastAsia="仿宋_GB2312"/>
          <w:color w:val="auto"/>
          <w:sz w:val="32"/>
          <w:szCs w:val="32"/>
          <w:highlight w:val="none"/>
          <w:lang w:eastAsia="zh-CN"/>
        </w:rPr>
        <w:t>总数据量达12</w:t>
      </w:r>
      <w:r>
        <w:rPr>
          <w:rFonts w:hint="eastAsia" w:ascii="仿宋_GB2312" w:hAnsi="仿宋" w:eastAsia="仿宋_GB2312"/>
          <w:color w:val="auto"/>
          <w:sz w:val="32"/>
          <w:szCs w:val="32"/>
          <w:highlight w:val="none"/>
          <w:lang w:val="en-US" w:eastAsia="zh-CN"/>
        </w:rPr>
        <w:t>41</w:t>
      </w:r>
      <w:r>
        <w:rPr>
          <w:rFonts w:hint="eastAsia" w:ascii="仿宋_GB2312" w:hAnsi="仿宋" w:eastAsia="仿宋_GB2312"/>
          <w:color w:val="auto"/>
          <w:sz w:val="32"/>
          <w:szCs w:val="32"/>
          <w:highlight w:val="none"/>
          <w:lang w:eastAsia="zh-CN"/>
        </w:rPr>
        <w:t>万笔，累计访问量6.</w:t>
      </w:r>
      <w:r>
        <w:rPr>
          <w:rFonts w:hint="eastAsia" w:ascii="仿宋_GB2312" w:hAnsi="仿宋" w:eastAsia="仿宋_GB2312"/>
          <w:color w:val="auto"/>
          <w:sz w:val="32"/>
          <w:szCs w:val="32"/>
          <w:highlight w:val="none"/>
          <w:lang w:val="en-US" w:eastAsia="zh-CN"/>
        </w:rPr>
        <w:t>5</w:t>
      </w:r>
      <w:r>
        <w:rPr>
          <w:rFonts w:hint="eastAsia" w:ascii="仿宋_GB2312" w:hAnsi="仿宋" w:eastAsia="仿宋_GB2312"/>
          <w:color w:val="auto"/>
          <w:sz w:val="32"/>
          <w:szCs w:val="32"/>
          <w:highlight w:val="none"/>
          <w:lang w:eastAsia="zh-CN"/>
        </w:rPr>
        <w:t>亿次，注册用户量10</w:t>
      </w:r>
      <w:r>
        <w:rPr>
          <w:rFonts w:hint="eastAsia" w:ascii="仿宋_GB2312" w:hAnsi="仿宋" w:eastAsia="仿宋_GB2312"/>
          <w:color w:val="auto"/>
          <w:sz w:val="32"/>
          <w:szCs w:val="32"/>
          <w:highlight w:val="none"/>
          <w:lang w:val="en-US" w:eastAsia="zh-CN"/>
        </w:rPr>
        <w:t>9</w:t>
      </w:r>
      <w:r>
        <w:rPr>
          <w:rFonts w:hint="eastAsia" w:ascii="仿宋_GB2312" w:hAnsi="仿宋" w:eastAsia="仿宋_GB2312"/>
          <w:color w:val="auto"/>
          <w:sz w:val="32"/>
          <w:szCs w:val="32"/>
          <w:highlight w:val="none"/>
          <w:lang w:eastAsia="zh-CN"/>
        </w:rPr>
        <w:t>万；其中，本年新增访问1.</w:t>
      </w:r>
      <w:r>
        <w:rPr>
          <w:rFonts w:hint="eastAsia" w:ascii="仿宋_GB2312" w:hAnsi="仿宋" w:eastAsia="仿宋_GB2312"/>
          <w:color w:val="auto"/>
          <w:sz w:val="32"/>
          <w:szCs w:val="32"/>
          <w:highlight w:val="none"/>
          <w:lang w:val="en-US" w:eastAsia="zh-CN"/>
        </w:rPr>
        <w:t>4</w:t>
      </w:r>
      <w:r>
        <w:rPr>
          <w:rFonts w:hint="eastAsia" w:ascii="仿宋_GB2312" w:hAnsi="仿宋" w:eastAsia="仿宋_GB2312"/>
          <w:color w:val="auto"/>
          <w:sz w:val="32"/>
          <w:szCs w:val="32"/>
          <w:highlight w:val="none"/>
          <w:lang w:eastAsia="zh-CN"/>
        </w:rPr>
        <w:t>亿次，注册用户</w:t>
      </w:r>
      <w:r>
        <w:rPr>
          <w:rFonts w:hint="eastAsia" w:ascii="仿宋_GB2312" w:hAnsi="仿宋" w:eastAsia="仿宋_GB2312"/>
          <w:color w:val="auto"/>
          <w:sz w:val="32"/>
          <w:szCs w:val="32"/>
          <w:highlight w:val="none"/>
          <w:lang w:val="en-US" w:eastAsia="zh-CN"/>
        </w:rPr>
        <w:t>17</w:t>
      </w:r>
      <w:r>
        <w:rPr>
          <w:rFonts w:hint="eastAsia" w:ascii="仿宋_GB2312" w:hAnsi="仿宋" w:eastAsia="仿宋_GB2312"/>
          <w:color w:val="auto"/>
          <w:sz w:val="32"/>
          <w:szCs w:val="32"/>
          <w:highlight w:val="none"/>
          <w:lang w:eastAsia="zh-CN"/>
        </w:rPr>
        <w:t>万。</w:t>
      </w:r>
      <w:r>
        <w:rPr>
          <w:rFonts w:hint="eastAsia" w:ascii="Times New Roman" w:hAnsi="Times New Roman" w:eastAsia="仿宋_GB2312"/>
          <w:b/>
          <w:bCs/>
          <w:color w:val="auto"/>
          <w:sz w:val="32"/>
          <w:szCs w:val="32"/>
          <w:highlight w:val="none"/>
          <w:lang w:val="en-US" w:eastAsia="zh-CN"/>
        </w:rPr>
        <w:t>持续提升</w:t>
      </w:r>
      <w:r>
        <w:rPr>
          <w:rFonts w:hint="eastAsia" w:ascii="仿宋_GB2312" w:hAnsi="仿宋_GB2312" w:eastAsia="仿宋_GB2312" w:cs="仿宋_GB2312"/>
          <w:b/>
          <w:bCs/>
          <w:color w:val="auto"/>
          <w:sz w:val="32"/>
          <w:szCs w:val="32"/>
          <w:highlight w:val="none"/>
          <w:lang w:val="en-US" w:eastAsia="zh-CN"/>
        </w:rPr>
        <w:t>统计政务</w:t>
      </w:r>
      <w:r>
        <w:rPr>
          <w:rFonts w:hint="eastAsia" w:ascii="Times New Roman" w:hAnsi="Times New Roman" w:eastAsia="仿宋_GB2312"/>
          <w:b/>
          <w:bCs/>
          <w:color w:val="auto"/>
          <w:sz w:val="32"/>
          <w:szCs w:val="32"/>
          <w:highlight w:val="none"/>
          <w:lang w:val="en" w:eastAsia="zh-CN"/>
        </w:rPr>
        <w:t>新媒体</w:t>
      </w:r>
      <w:r>
        <w:rPr>
          <w:rFonts w:hint="eastAsia" w:ascii="Times New Roman" w:hAnsi="Times New Roman" w:eastAsia="仿宋_GB2312"/>
          <w:b/>
          <w:bCs/>
          <w:color w:val="auto"/>
          <w:sz w:val="32"/>
          <w:szCs w:val="32"/>
          <w:highlight w:val="none"/>
          <w:lang w:val="en-US" w:eastAsia="zh-CN"/>
        </w:rPr>
        <w:t>影响力。</w:t>
      </w:r>
      <w:r>
        <w:rPr>
          <w:rFonts w:hint="eastAsia" w:ascii="Times New Roman" w:hAnsi="Times New Roman" w:eastAsia="仿宋_GB2312"/>
          <w:b w:val="0"/>
          <w:bCs w:val="0"/>
          <w:color w:val="auto"/>
          <w:sz w:val="32"/>
          <w:szCs w:val="32"/>
          <w:highlight w:val="none"/>
          <w:lang w:val="en-US" w:eastAsia="zh-CN"/>
        </w:rPr>
        <w:t>“中国统计”微博和“统计微讯”公众号双双入选《互联网新闻信息稿源单位名单》。</w:t>
      </w:r>
      <w:r>
        <w:rPr>
          <w:rFonts w:hint="eastAsia" w:ascii="仿宋_GB2312" w:hAnsi="仿宋_GB2312" w:eastAsia="仿宋_GB2312" w:cs="仿宋_GB2312"/>
          <w:color w:val="auto"/>
          <w:sz w:val="32"/>
          <w:szCs w:val="32"/>
          <w:highlight w:val="none"/>
        </w:rPr>
        <w:t>开通“国家统计局”头条号</w:t>
      </w:r>
      <w:r>
        <w:rPr>
          <w:rFonts w:hint="eastAsia" w:ascii="仿宋_GB2312" w:hAnsi="仿宋_GB2312" w:eastAsia="仿宋_GB2312" w:cs="仿宋_GB2312"/>
          <w:color w:val="auto"/>
          <w:sz w:val="32"/>
          <w:szCs w:val="32"/>
          <w:highlight w:val="none"/>
          <w:lang w:eastAsia="zh-CN"/>
        </w:rPr>
        <w:t>，扩大目标用户覆盖面</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@中国统计推送</w:t>
      </w:r>
      <w:r>
        <w:rPr>
          <w:rFonts w:hint="eastAsia" w:ascii="仿宋_GB2312" w:hAnsi="仿宋_GB2312" w:eastAsia="仿宋_GB2312" w:cs="仿宋_GB2312"/>
          <w:color w:val="auto"/>
          <w:sz w:val="32"/>
          <w:szCs w:val="32"/>
          <w:highlight w:val="none"/>
          <w:lang w:val="en" w:eastAsia="zh-CN"/>
        </w:rPr>
        <w:t>1</w:t>
      </w:r>
      <w:r>
        <w:rPr>
          <w:rFonts w:hint="eastAsia" w:ascii="仿宋_GB2312" w:hAnsi="仿宋_GB2312" w:eastAsia="仿宋_GB2312" w:cs="仿宋_GB2312"/>
          <w:color w:val="auto"/>
          <w:sz w:val="32"/>
          <w:szCs w:val="32"/>
          <w:highlight w:val="none"/>
          <w:lang w:val="en-US" w:eastAsia="zh-CN"/>
        </w:rPr>
        <w:t>309篇文章，用户达251.</w:t>
      </w:r>
      <w:r>
        <w:rPr>
          <w:rFonts w:hint="eastAsia" w:ascii="仿宋_GB2312" w:hAnsi="仿宋_GB2312" w:eastAsia="仿宋_GB2312" w:cs="仿宋_GB2312"/>
          <w:color w:val="auto"/>
          <w:sz w:val="32"/>
          <w:szCs w:val="32"/>
          <w:highlight w:val="none"/>
          <w:lang w:val="en" w:eastAsia="zh-CN"/>
        </w:rPr>
        <w:t>7</w:t>
      </w:r>
      <w:r>
        <w:rPr>
          <w:rFonts w:hint="eastAsia" w:ascii="仿宋_GB2312" w:hAnsi="仿宋_GB2312" w:eastAsia="仿宋_GB2312" w:cs="仿宋_GB2312"/>
          <w:color w:val="auto"/>
          <w:sz w:val="32"/>
          <w:szCs w:val="32"/>
          <w:highlight w:val="none"/>
          <w:lang w:val="en-US" w:eastAsia="zh-CN"/>
        </w:rPr>
        <w:t>万；</w:t>
      </w:r>
      <w:r>
        <w:rPr>
          <w:rFonts w:hint="eastAsia" w:ascii="仿宋_GB2312" w:hAnsi="仿宋_GB2312" w:eastAsia="仿宋_GB2312" w:cs="仿宋_GB2312"/>
          <w:color w:val="auto"/>
          <w:sz w:val="32"/>
          <w:szCs w:val="32"/>
          <w:highlight w:val="none"/>
          <w:lang w:val="en-US" w:eastAsia="zh-CN"/>
        </w:rPr>
        <w:fldChar w:fldCharType="begin"/>
      </w:r>
      <w:r>
        <w:rPr>
          <w:rFonts w:hint="eastAsia" w:ascii="仿宋_GB2312" w:hAnsi="仿宋_GB2312" w:eastAsia="仿宋_GB2312" w:cs="仿宋_GB2312"/>
          <w:color w:val="auto"/>
          <w:sz w:val="32"/>
          <w:szCs w:val="32"/>
          <w:highlight w:val="none"/>
          <w:lang w:val="en-US" w:eastAsia="zh-CN"/>
        </w:rPr>
        <w:instrText xml:space="preserve"> HYPERLINK "mailto:截至12月26日，微信公众号\“统计微讯\”共发布926篇推文，年度阅读总量526万，较2020年全年**万增长**%，订阅用户达52万。微博@中国统计共推送1277篇文章，微博用户已达251.7万。抖音政务号统计微讯2021年共发布34个作品，收获播放量**万。微信公众号\“统计微讯\”和微博\“中国统计\”均入选中央网信办公布的《互联网新闻信息稿源单位名单》，标志着我局官方政务新媒体已成为代表性强、影响广泛的政务发布平台。" </w:instrText>
      </w:r>
      <w:r>
        <w:rPr>
          <w:rFonts w:hint="eastAsia" w:ascii="仿宋_GB2312" w:hAnsi="仿宋_GB2312" w:eastAsia="仿宋_GB2312" w:cs="仿宋_GB2312"/>
          <w:color w:val="auto"/>
          <w:sz w:val="32"/>
          <w:szCs w:val="32"/>
          <w:highlight w:val="none"/>
          <w:lang w:val="en-US" w:eastAsia="zh-CN"/>
        </w:rPr>
        <w:fldChar w:fldCharType="separate"/>
      </w:r>
      <w:r>
        <w:rPr>
          <w:rFonts w:hint="eastAsia" w:ascii="仿宋_GB2312" w:hAnsi="仿宋_GB2312" w:eastAsia="仿宋_GB2312" w:cs="仿宋_GB2312"/>
          <w:color w:val="auto"/>
          <w:sz w:val="32"/>
          <w:szCs w:val="32"/>
          <w:highlight w:val="none"/>
          <w:lang w:val="en-US" w:eastAsia="zh-CN"/>
        </w:rPr>
        <w:t>微信公众号发布</w:t>
      </w:r>
      <w:r>
        <w:rPr>
          <w:rFonts w:hint="eastAsia" w:ascii="仿宋_GB2312" w:hAnsi="仿宋_GB2312" w:eastAsia="仿宋_GB2312" w:cs="仿宋_GB2312"/>
          <w:color w:val="auto"/>
          <w:sz w:val="32"/>
          <w:szCs w:val="32"/>
          <w:highlight w:val="none"/>
          <w:lang w:val="en" w:eastAsia="zh-CN"/>
        </w:rPr>
        <w:t>9</w:t>
      </w:r>
      <w:r>
        <w:rPr>
          <w:rFonts w:hint="eastAsia" w:ascii="仿宋_GB2312" w:hAnsi="仿宋_GB2312" w:eastAsia="仿宋_GB2312" w:cs="仿宋_GB2312"/>
          <w:color w:val="auto"/>
          <w:sz w:val="32"/>
          <w:szCs w:val="32"/>
          <w:highlight w:val="none"/>
          <w:lang w:val="en-US" w:eastAsia="zh-CN"/>
        </w:rPr>
        <w:t>44篇推文，阅读总量</w:t>
      </w:r>
      <w:r>
        <w:rPr>
          <w:rFonts w:hint="eastAsia" w:ascii="仿宋_GB2312" w:hAnsi="仿宋_GB2312" w:eastAsia="仿宋_GB2312" w:cs="仿宋_GB2312"/>
          <w:color w:val="auto"/>
          <w:sz w:val="32"/>
          <w:szCs w:val="32"/>
          <w:highlight w:val="none"/>
          <w:lang w:val="en" w:eastAsia="zh-CN"/>
        </w:rPr>
        <w:t>5</w:t>
      </w:r>
      <w:r>
        <w:rPr>
          <w:rFonts w:hint="eastAsia" w:ascii="仿宋_GB2312" w:hAnsi="仿宋_GB2312" w:eastAsia="仿宋_GB2312" w:cs="仿宋_GB2312"/>
          <w:color w:val="auto"/>
          <w:sz w:val="32"/>
          <w:szCs w:val="32"/>
          <w:highlight w:val="none"/>
          <w:lang w:val="en-US" w:eastAsia="zh-CN"/>
        </w:rPr>
        <w:t>34万；抖音政务号发布35个作品，播放量560万；</w:t>
      </w:r>
      <w:r>
        <w:rPr>
          <w:rFonts w:hint="eastAsia" w:ascii="仿宋_GB2312" w:hAnsi="仿宋_GB2312" w:eastAsia="仿宋_GB2312" w:cs="仿宋_GB2312"/>
          <w:color w:val="auto"/>
          <w:sz w:val="32"/>
          <w:szCs w:val="32"/>
          <w:highlight w:val="none"/>
          <w:lang w:val="en-US" w:eastAsia="zh-CN"/>
        </w:rPr>
        <w:fldChar w:fldCharType="end"/>
      </w:r>
      <w:r>
        <w:rPr>
          <w:rFonts w:hint="eastAsia" w:ascii="仿宋_GB2312" w:hAnsi="仿宋_GB2312" w:eastAsia="仿宋_GB2312" w:cs="仿宋_GB2312"/>
          <w:color w:val="auto"/>
          <w:sz w:val="32"/>
          <w:szCs w:val="32"/>
          <w:highlight w:val="none"/>
          <w:lang w:val="en-US" w:eastAsia="zh-CN"/>
        </w:rPr>
        <w:t>“国家统计局”头条号发布208篇推文，阅读量698万。</w:t>
      </w:r>
      <w:r>
        <w:rPr>
          <w:rFonts w:hint="eastAsia" w:ascii="仿宋_GB2312" w:hAnsi="仿宋_GB2312" w:eastAsia="仿宋_GB2312" w:cs="仿宋_GB2312"/>
          <w:b/>
          <w:bCs/>
          <w:color w:val="auto"/>
          <w:sz w:val="32"/>
          <w:szCs w:val="32"/>
          <w:highlight w:val="none"/>
          <w:lang w:val="en" w:eastAsia="zh-CN"/>
        </w:rPr>
        <w:t>优化完善联网直报网站。</w:t>
      </w:r>
      <w:r>
        <w:rPr>
          <w:rFonts w:hint="eastAsia" w:ascii="仿宋_GB2312" w:eastAsia="仿宋_GB2312"/>
          <w:color w:val="auto"/>
          <w:spacing w:val="-2"/>
          <w:sz w:val="32"/>
          <w:szCs w:val="28"/>
          <w:highlight w:val="none"/>
        </w:rPr>
        <w:t>面向联网直报企业和各级统计工作人员</w:t>
      </w:r>
      <w:r>
        <w:rPr>
          <w:rFonts w:hint="eastAsia" w:ascii="仿宋_GB2312" w:eastAsia="仿宋_GB2312"/>
          <w:color w:val="auto"/>
          <w:spacing w:val="-2"/>
          <w:sz w:val="32"/>
          <w:szCs w:val="28"/>
          <w:highlight w:val="none"/>
          <w:lang w:eastAsia="zh-CN"/>
        </w:rPr>
        <w:t>，</w:t>
      </w:r>
      <w:r>
        <w:rPr>
          <w:rFonts w:hint="eastAsia" w:ascii="仿宋_GB2312" w:eastAsia="仿宋_GB2312"/>
          <w:color w:val="auto"/>
          <w:spacing w:val="-2"/>
          <w:sz w:val="32"/>
          <w:szCs w:val="28"/>
          <w:highlight w:val="none"/>
        </w:rPr>
        <w:t>及时发布</w:t>
      </w:r>
      <w:r>
        <w:rPr>
          <w:rFonts w:hint="eastAsia" w:ascii="仿宋_GB2312" w:eastAsia="仿宋_GB2312"/>
          <w:color w:val="auto"/>
          <w:spacing w:val="-2"/>
          <w:sz w:val="32"/>
          <w:szCs w:val="28"/>
          <w:highlight w:val="none"/>
          <w:lang w:eastAsia="zh-CN"/>
        </w:rPr>
        <w:t>统计信息，</w:t>
      </w:r>
      <w:r>
        <w:rPr>
          <w:rFonts w:hint="eastAsia" w:ascii="仿宋_GB2312" w:eastAsia="仿宋_GB2312"/>
          <w:color w:val="auto"/>
          <w:spacing w:val="-2"/>
          <w:sz w:val="32"/>
          <w:szCs w:val="28"/>
          <w:highlight w:val="none"/>
        </w:rPr>
        <w:t>更新工作动态</w:t>
      </w:r>
      <w:r>
        <w:rPr>
          <w:rFonts w:hint="eastAsia" w:ascii="仿宋_GB2312" w:eastAsia="仿宋_GB2312"/>
          <w:color w:val="auto"/>
          <w:spacing w:val="-2"/>
          <w:sz w:val="32"/>
          <w:szCs w:val="28"/>
          <w:highlight w:val="none"/>
          <w:lang w:eastAsia="zh-CN"/>
        </w:rPr>
        <w:t>和图片新闻</w:t>
      </w:r>
      <w:r>
        <w:rPr>
          <w:rFonts w:hint="eastAsia" w:ascii="仿宋_GB2312" w:eastAsia="仿宋_GB2312"/>
          <w:color w:val="auto"/>
          <w:spacing w:val="-2"/>
          <w:sz w:val="32"/>
          <w:szCs w:val="28"/>
          <w:highlight w:val="none"/>
        </w:rPr>
        <w:t>1</w:t>
      </w:r>
      <w:r>
        <w:rPr>
          <w:rFonts w:hint="eastAsia" w:ascii="仿宋_GB2312" w:eastAsia="仿宋_GB2312"/>
          <w:color w:val="auto"/>
          <w:spacing w:val="-2"/>
          <w:sz w:val="32"/>
          <w:szCs w:val="28"/>
          <w:highlight w:val="none"/>
          <w:lang w:val="en-US" w:eastAsia="zh-CN"/>
        </w:rPr>
        <w:t>60</w:t>
      </w:r>
      <w:r>
        <w:rPr>
          <w:rFonts w:hint="eastAsia" w:ascii="仿宋_GB2312" w:eastAsia="仿宋_GB2312"/>
          <w:color w:val="auto"/>
          <w:spacing w:val="-2"/>
          <w:sz w:val="32"/>
          <w:szCs w:val="28"/>
          <w:highlight w:val="none"/>
        </w:rPr>
        <w:t>余篇。</w:t>
      </w:r>
      <w:r>
        <w:rPr>
          <w:rFonts w:hint="eastAsia" w:ascii="仿宋_GB2312" w:hAnsi="仿宋_GB2312" w:eastAsia="仿宋_GB2312" w:cs="仿宋_GB2312"/>
          <w:b/>
          <w:bCs/>
          <w:color w:val="auto"/>
          <w:sz w:val="32"/>
          <w:szCs w:val="32"/>
          <w:highlight w:val="none"/>
          <w:lang w:val="en" w:eastAsia="zh-CN"/>
        </w:rPr>
        <w:t>充分发挥《中国信息报》作用。</w:t>
      </w:r>
      <w:r>
        <w:rPr>
          <w:rFonts w:hint="eastAsia" w:ascii="仿宋_GB2312" w:hAnsi="Times New Roman" w:eastAsia="仿宋_GB2312" w:cs="Times New Roman"/>
          <w:color w:val="auto"/>
          <w:spacing w:val="-2"/>
          <w:sz w:val="32"/>
          <w:szCs w:val="28"/>
          <w:highlight w:val="none"/>
          <w:lang w:val="en" w:eastAsia="zh-CN"/>
        </w:rPr>
        <w:t>报纸全年发布各类统计数据和解读稿等近</w:t>
      </w:r>
      <w:r>
        <w:rPr>
          <w:rFonts w:hint="eastAsia" w:ascii="仿宋_GB2312" w:hAnsi="Times New Roman" w:eastAsia="仿宋_GB2312" w:cs="Times New Roman"/>
          <w:color w:val="auto"/>
          <w:spacing w:val="-2"/>
          <w:sz w:val="32"/>
          <w:szCs w:val="28"/>
          <w:highlight w:val="none"/>
          <w:lang w:val="en-US" w:eastAsia="zh-CN"/>
        </w:rPr>
        <w:t>400篇，</w:t>
      </w:r>
      <w:r>
        <w:rPr>
          <w:rFonts w:hint="eastAsia" w:ascii="仿宋_GB2312" w:hAnsi="Times New Roman" w:eastAsia="仿宋_GB2312" w:cs="Times New Roman"/>
          <w:color w:val="auto"/>
          <w:spacing w:val="-2"/>
          <w:sz w:val="32"/>
          <w:szCs w:val="28"/>
          <w:highlight w:val="none"/>
          <w:lang w:val="en" w:eastAsia="zh-CN"/>
        </w:rPr>
        <w:t>“</w:t>
      </w:r>
      <w:r>
        <w:rPr>
          <w:rFonts w:hint="eastAsia" w:ascii="仿宋_GB2312" w:hAnsi="Times New Roman" w:eastAsia="仿宋_GB2312" w:cs="Times New Roman"/>
          <w:color w:val="auto"/>
          <w:spacing w:val="-2"/>
          <w:sz w:val="32"/>
          <w:szCs w:val="28"/>
          <w:highlight w:val="none"/>
          <w:lang w:val="en-US" w:eastAsia="zh-CN"/>
        </w:rPr>
        <w:t>中国信息报</w:t>
      </w:r>
      <w:r>
        <w:rPr>
          <w:rFonts w:hint="eastAsia" w:ascii="仿宋_GB2312" w:hAnsi="Times New Roman" w:eastAsia="仿宋_GB2312" w:cs="Times New Roman"/>
          <w:color w:val="auto"/>
          <w:spacing w:val="-2"/>
          <w:sz w:val="32"/>
          <w:szCs w:val="28"/>
          <w:highlight w:val="none"/>
          <w:lang w:val="en" w:eastAsia="zh-CN"/>
        </w:rPr>
        <w:t>”</w:t>
      </w:r>
      <w:r>
        <w:rPr>
          <w:rFonts w:hint="eastAsia" w:ascii="仿宋_GB2312" w:hAnsi="Times New Roman" w:eastAsia="仿宋_GB2312" w:cs="Times New Roman"/>
          <w:color w:val="auto"/>
          <w:spacing w:val="-2"/>
          <w:sz w:val="32"/>
          <w:szCs w:val="28"/>
          <w:highlight w:val="none"/>
          <w:lang w:val="en-US" w:eastAsia="zh-CN"/>
        </w:rPr>
        <w:t>公众号发布文章563篇。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r>
        <w:rPr>
          <w:rFonts w:hint="eastAsia" w:ascii="仿宋_GB2312" w:hAnsi="Times New Roman" w:eastAsia="仿宋_GB2312" w:cs="Times New Roman"/>
          <w:color w:val="auto"/>
          <w:spacing w:val="-2"/>
          <w:sz w:val="32"/>
          <w:szCs w:val="28"/>
          <w:highlight w:val="none"/>
          <w:lang w:val="en-US" w:eastAsia="zh-CN"/>
        </w:rPr>
        <w:drawing>
          <wp:anchor distT="0" distB="0" distL="114300" distR="114300" simplePos="0" relativeHeight="251659264" behindDoc="0" locked="0" layoutInCell="1" allowOverlap="1">
            <wp:simplePos x="0" y="0"/>
            <wp:positionH relativeFrom="column">
              <wp:posOffset>365760</wp:posOffset>
            </wp:positionH>
            <wp:positionV relativeFrom="paragraph">
              <wp:posOffset>38735</wp:posOffset>
            </wp:positionV>
            <wp:extent cx="4813300" cy="3610610"/>
            <wp:effectExtent l="0" t="0" r="6350" b="8890"/>
            <wp:wrapSquare wrapText="bothSides"/>
            <wp:docPr id="2" name="图片 15" descr="8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5" descr="888"/>
                    <pic:cNvPicPr>
                      <a:picLocks noChangeAspect="true"/>
                    </pic:cNvPicPr>
                  </pic:nvPicPr>
                  <pic:blipFill>
                    <a:blip r:embed="rId7"/>
                    <a:stretch>
                      <a:fillRect/>
                    </a:stretch>
                  </pic:blipFill>
                  <pic:spPr>
                    <a:xfrm>
                      <a:off x="0" y="0"/>
                      <a:ext cx="4813300" cy="361061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r>
        <w:rPr>
          <w:rFonts w:hint="eastAsia" w:ascii="仿宋_GB2312" w:hAnsi="Times New Roman" w:eastAsia="仿宋_GB2312" w:cs="Times New Roman"/>
          <w:color w:val="auto"/>
          <w:spacing w:val="-2"/>
          <w:sz w:val="32"/>
          <w:szCs w:val="28"/>
          <w:highlight w:val="none"/>
          <w:lang w:val="en-US" w:eastAsia="zh-CN"/>
        </w:rPr>
        <w:drawing>
          <wp:anchor distT="0" distB="0" distL="114300" distR="114300" simplePos="0" relativeHeight="251658240" behindDoc="0" locked="0" layoutInCell="1" allowOverlap="1">
            <wp:simplePos x="0" y="0"/>
            <wp:positionH relativeFrom="column">
              <wp:posOffset>365760</wp:posOffset>
            </wp:positionH>
            <wp:positionV relativeFrom="paragraph">
              <wp:posOffset>166370</wp:posOffset>
            </wp:positionV>
            <wp:extent cx="4813300" cy="3609975"/>
            <wp:effectExtent l="0" t="0" r="6350" b="9525"/>
            <wp:wrapSquare wrapText="bothSides"/>
            <wp:docPr id="1" name="图片 14" descr="/home/gaop/桌面/政府信息公开年报/图片/666.jpg6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4" descr="/home/gaop/桌面/政府信息公开年报/图片/666.jpg666"/>
                    <pic:cNvPicPr>
                      <a:picLocks noChangeAspect="true"/>
                    </pic:cNvPicPr>
                  </pic:nvPicPr>
                  <pic:blipFill>
                    <a:blip r:embed="rId8"/>
                    <a:stretch>
                      <a:fillRect/>
                    </a:stretch>
                  </pic:blipFill>
                  <pic:spPr>
                    <a:xfrm>
                      <a:off x="0" y="0"/>
                      <a:ext cx="4813300" cy="36099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Times New Roman" w:eastAsia="仿宋_GB2312" w:cs="Times New Roman"/>
          <w:b w:val="0"/>
          <w:bCs w:val="0"/>
          <w:color w:val="auto"/>
          <w:sz w:val="32"/>
          <w:highlight w:val="none"/>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ind w:firstLine="640" w:firstLineChars="200"/>
        <w:jc w:val="both"/>
        <w:textAlignment w:val="auto"/>
        <w:rPr>
          <w:rFonts w:hint="eastAsia"/>
          <w:lang w:val="en"/>
        </w:rPr>
      </w:pPr>
      <w:r>
        <w:rPr>
          <w:rFonts w:hint="eastAsia" w:ascii="楷体_GB2312" w:hAnsi="楷体_GB2312" w:eastAsia="楷体_GB2312" w:cs="楷体_GB2312"/>
          <w:b w:val="0"/>
          <w:bCs w:val="0"/>
          <w:color w:val="auto"/>
          <w:kern w:val="2"/>
          <w:sz w:val="32"/>
          <w:szCs w:val="32"/>
          <w:highlight w:val="none"/>
          <w:lang w:val="en-US" w:eastAsia="zh-CN" w:bidi="ar-SA"/>
        </w:rPr>
        <w:t>（四）不断深化统计公众服务。</w:t>
      </w:r>
      <w:bookmarkStart w:id="0" w:name="_Hlk87126436"/>
      <w:r>
        <w:rPr>
          <w:rFonts w:hint="eastAsia" w:ascii="仿宋_GB2312" w:hAnsi="仿宋_GB2312" w:eastAsia="仿宋_GB2312" w:cs="仿宋_GB2312"/>
          <w:b/>
          <w:bCs w:val="0"/>
          <w:color w:val="auto"/>
          <w:sz w:val="32"/>
          <w:szCs w:val="32"/>
          <w:highlight w:val="none"/>
          <w:lang w:eastAsia="zh-CN"/>
        </w:rPr>
        <w:t>积极</w:t>
      </w:r>
      <w:r>
        <w:rPr>
          <w:rFonts w:hint="eastAsia" w:ascii="仿宋_GB2312" w:hAnsi="仿宋_GB2312" w:eastAsia="仿宋_GB2312" w:cs="仿宋_GB2312"/>
          <w:b/>
          <w:bCs w:val="0"/>
          <w:color w:val="auto"/>
          <w:kern w:val="0"/>
          <w:sz w:val="32"/>
          <w:szCs w:val="32"/>
          <w:highlight w:val="none"/>
          <w:lang w:val="en-US" w:eastAsia="zh-CN" w:bidi="ar"/>
        </w:rPr>
        <w:t>提供统计信息咨询服务。</w:t>
      </w:r>
      <w:bookmarkEnd w:id="0"/>
      <w:r>
        <w:rPr>
          <w:rFonts w:hint="eastAsia" w:ascii="仿宋_GB2312" w:hAnsi="仿宋_GB2312" w:eastAsia="仿宋_GB2312" w:cs="仿宋_GB2312"/>
          <w:b w:val="0"/>
          <w:bCs/>
          <w:color w:val="auto"/>
          <w:kern w:val="0"/>
          <w:sz w:val="32"/>
          <w:szCs w:val="32"/>
          <w:highlight w:val="none"/>
          <w:lang w:val="en-US" w:eastAsia="zh-CN" w:bidi="ar"/>
        </w:rPr>
        <w:t>受理公众服务请求15156件，公开常见咨询问答386条。办理“我为政府网站找错”事项223件；通过联网直报呼叫中心接收和处理各类技术咨询8万余次</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b/>
          <w:bCs w:val="0"/>
          <w:color w:val="auto"/>
          <w:sz w:val="32"/>
          <w:szCs w:val="32"/>
          <w:highlight w:val="none"/>
        </w:rPr>
        <w:t>上线运行公众服务智能平台</w:t>
      </w:r>
      <w:r>
        <w:rPr>
          <w:rFonts w:hint="eastAsia" w:ascii="仿宋_GB2312" w:hAnsi="仿宋_GB2312" w:eastAsia="仿宋_GB2312" w:cs="仿宋_GB2312"/>
          <w:b/>
          <w:bCs w:val="0"/>
          <w:color w:val="auto"/>
          <w:sz w:val="32"/>
          <w:szCs w:val="32"/>
          <w:highlight w:val="none"/>
          <w:lang w:eastAsia="zh-CN"/>
        </w:rPr>
        <w:t>。</w:t>
      </w:r>
      <w:r>
        <w:rPr>
          <w:rFonts w:hint="eastAsia" w:ascii="仿宋_GB2312" w:hAnsi="仿宋" w:eastAsia="仿宋_GB2312" w:cs="Times New Roman"/>
          <w:b w:val="0"/>
          <w:bCs/>
          <w:color w:val="auto"/>
          <w:sz w:val="32"/>
          <w:szCs w:val="32"/>
          <w:highlight w:val="none"/>
          <w:lang w:eastAsia="zh-CN"/>
        </w:rPr>
        <w:t>创新性</w:t>
      </w:r>
      <w:r>
        <w:rPr>
          <w:rFonts w:hint="eastAsia" w:ascii="仿宋_GB2312" w:hAnsi="仿宋" w:eastAsia="仿宋_GB2312" w:cs="Times New Roman"/>
          <w:b w:val="0"/>
          <w:bCs/>
          <w:color w:val="auto"/>
          <w:sz w:val="32"/>
          <w:szCs w:val="32"/>
          <w:highlight w:val="none"/>
        </w:rPr>
        <w:t>使用云服务模式</w:t>
      </w:r>
      <w:r>
        <w:rPr>
          <w:rFonts w:hint="eastAsia" w:ascii="仿宋_GB2312" w:hAnsi="仿宋" w:eastAsia="仿宋_GB2312" w:cs="Times New Roman"/>
          <w:b w:val="0"/>
          <w:bCs/>
          <w:color w:val="auto"/>
          <w:sz w:val="32"/>
          <w:szCs w:val="32"/>
          <w:highlight w:val="none"/>
          <w:lang w:eastAsia="zh-CN"/>
        </w:rPr>
        <w:t>，</w:t>
      </w:r>
      <w:r>
        <w:rPr>
          <w:rFonts w:hint="eastAsia" w:ascii="仿宋_GB2312" w:hAnsi="仿宋" w:eastAsia="仿宋_GB2312" w:cs="Times New Roman"/>
          <w:b w:val="0"/>
          <w:bCs/>
          <w:color w:val="auto"/>
          <w:sz w:val="32"/>
          <w:szCs w:val="32"/>
          <w:highlight w:val="none"/>
        </w:rPr>
        <w:t>实现集7x24小时智能机器人互动服务、问答知识库搜索、传统咨询方式于一体的一站式服务</w:t>
      </w:r>
      <w:r>
        <w:rPr>
          <w:rFonts w:hint="eastAsia" w:ascii="仿宋_GB2312" w:hAnsi="仿宋" w:eastAsia="仿宋_GB2312" w:cs="Times New Roman"/>
          <w:b w:val="0"/>
          <w:bCs/>
          <w:color w:val="auto"/>
          <w:sz w:val="32"/>
          <w:szCs w:val="32"/>
          <w:highlight w:val="none"/>
          <w:lang w:eastAsia="zh-CN"/>
        </w:rPr>
        <w:t>，获评</w:t>
      </w:r>
      <w:r>
        <w:rPr>
          <w:rFonts w:hint="eastAsia" w:ascii="仿宋_GB2312" w:hAnsi="仿宋" w:eastAsia="仿宋_GB2312" w:cs="Times New Roman"/>
          <w:b w:val="0"/>
          <w:bCs/>
          <w:color w:val="auto"/>
          <w:sz w:val="32"/>
          <w:szCs w:val="32"/>
          <w:highlight w:val="none"/>
        </w:rPr>
        <w:t>2021年数字政府评估暨第二十届政府网站绩效评估部委网站“十佳”优秀创新案例</w:t>
      </w:r>
      <w:r>
        <w:rPr>
          <w:rFonts w:hint="eastAsia" w:ascii="仿宋_GB2312" w:hAnsi="仿宋" w:eastAsia="仿宋_GB2312" w:cs="Times New Roman"/>
          <w:b w:val="0"/>
          <w:bCs/>
          <w:color w:val="auto"/>
          <w:sz w:val="32"/>
          <w:szCs w:val="32"/>
          <w:highlight w:val="none"/>
          <w:lang w:eastAsia="zh-CN"/>
        </w:rPr>
        <w:t>。</w:t>
      </w:r>
      <w:r>
        <w:rPr>
          <w:rFonts w:hint="eastAsia" w:ascii="仿宋_GB2312" w:hAnsi="仿宋_GB2312" w:eastAsia="仿宋_GB2312" w:cs="仿宋_GB2312"/>
          <w:b/>
          <w:bCs w:val="0"/>
          <w:color w:val="auto"/>
          <w:sz w:val="32"/>
          <w:szCs w:val="32"/>
          <w:highlight w:val="none"/>
          <w:lang w:eastAsia="zh-CN"/>
        </w:rPr>
        <w:t>建好用好微观数据实验室。</w:t>
      </w:r>
      <w:r>
        <w:rPr>
          <w:rFonts w:hint="eastAsia" w:ascii="仿宋_GB2312" w:hAnsi="仿宋" w:eastAsia="仿宋_GB2312" w:cs="Times New Roman"/>
          <w:b w:val="0"/>
          <w:bCs/>
          <w:color w:val="auto"/>
          <w:sz w:val="32"/>
          <w:szCs w:val="32"/>
          <w:highlight w:val="none"/>
        </w:rPr>
        <w:t>形成</w:t>
      </w:r>
      <w:r>
        <w:rPr>
          <w:rFonts w:hint="eastAsia" w:ascii="仿宋_GB2312" w:hAnsi="仿宋" w:eastAsia="仿宋_GB2312" w:cs="Times New Roman"/>
          <w:b w:val="0"/>
          <w:bCs/>
          <w:color w:val="auto"/>
          <w:sz w:val="32"/>
          <w:szCs w:val="32"/>
          <w:highlight w:val="none"/>
          <w:lang w:val="en-US" w:eastAsia="zh-CN"/>
        </w:rPr>
        <w:t>4</w:t>
      </w:r>
      <w:r>
        <w:rPr>
          <w:rFonts w:hint="eastAsia" w:ascii="仿宋_GB2312" w:hAnsi="仿宋" w:eastAsia="仿宋_GB2312" w:cs="Times New Roman"/>
          <w:b w:val="0"/>
          <w:bCs/>
          <w:color w:val="auto"/>
          <w:sz w:val="32"/>
          <w:szCs w:val="32"/>
          <w:highlight w:val="none"/>
        </w:rPr>
        <w:t>所</w:t>
      </w:r>
      <w:r>
        <w:rPr>
          <w:rFonts w:hint="eastAsia" w:ascii="仿宋_GB2312" w:hAnsi="仿宋" w:eastAsia="仿宋_GB2312" w:cs="Times New Roman"/>
          <w:b w:val="0"/>
          <w:bCs/>
          <w:color w:val="auto"/>
          <w:sz w:val="32"/>
          <w:szCs w:val="32"/>
          <w:highlight w:val="none"/>
          <w:lang w:val="en-US" w:eastAsia="zh-CN"/>
        </w:rPr>
        <w:t>微观数据</w:t>
      </w:r>
      <w:r>
        <w:rPr>
          <w:rFonts w:hint="eastAsia" w:ascii="仿宋_GB2312" w:hAnsi="仿宋" w:eastAsia="仿宋_GB2312" w:cs="Times New Roman"/>
          <w:b w:val="0"/>
          <w:bCs/>
          <w:color w:val="auto"/>
          <w:sz w:val="32"/>
          <w:szCs w:val="32"/>
          <w:highlight w:val="none"/>
        </w:rPr>
        <w:t>实验室共同运行维护的多点布局，共有</w:t>
      </w:r>
      <w:r>
        <w:rPr>
          <w:rFonts w:hint="eastAsia" w:ascii="仿宋_GB2312" w:hAnsi="仿宋" w:eastAsia="仿宋_GB2312" w:cs="Times New Roman"/>
          <w:b w:val="0"/>
          <w:bCs/>
          <w:color w:val="auto"/>
          <w:sz w:val="32"/>
          <w:szCs w:val="32"/>
          <w:highlight w:val="none"/>
          <w:lang w:val="en-US" w:eastAsia="zh-CN"/>
        </w:rPr>
        <w:t>90</w:t>
      </w:r>
      <w:r>
        <w:rPr>
          <w:rFonts w:hint="eastAsia" w:ascii="仿宋_GB2312" w:hAnsi="仿宋" w:eastAsia="仿宋_GB2312" w:cs="Times New Roman"/>
          <w:b w:val="0"/>
          <w:bCs/>
          <w:color w:val="auto"/>
          <w:sz w:val="32"/>
          <w:szCs w:val="32"/>
          <w:highlight w:val="none"/>
        </w:rPr>
        <w:t>所高校和科研机构通过认证</w:t>
      </w:r>
      <w:r>
        <w:rPr>
          <w:rFonts w:hint="eastAsia" w:ascii="仿宋_GB2312" w:hAnsi="仿宋" w:eastAsia="仿宋_GB2312" w:cs="Times New Roman"/>
          <w:b w:val="0"/>
          <w:bCs/>
          <w:color w:val="auto"/>
          <w:sz w:val="32"/>
          <w:szCs w:val="32"/>
          <w:highlight w:val="none"/>
          <w:lang w:eastAsia="zh-CN"/>
        </w:rPr>
        <w:t>使用。</w:t>
      </w:r>
      <w:r>
        <w:rPr>
          <w:rFonts w:hint="eastAsia" w:ascii="仿宋_GB2312" w:hAnsi="仿宋" w:eastAsia="仿宋_GB2312" w:cs="Times New Roman"/>
          <w:b w:val="0"/>
          <w:bCs/>
          <w:color w:val="auto"/>
          <w:sz w:val="32"/>
          <w:szCs w:val="32"/>
          <w:highlight w:val="none"/>
        </w:rPr>
        <w:t>审批通过4</w:t>
      </w:r>
      <w:r>
        <w:rPr>
          <w:rFonts w:hint="eastAsia" w:ascii="仿宋_GB2312" w:hAnsi="仿宋" w:eastAsia="仿宋_GB2312" w:cs="Times New Roman"/>
          <w:b w:val="0"/>
          <w:bCs/>
          <w:color w:val="auto"/>
          <w:sz w:val="32"/>
          <w:szCs w:val="32"/>
          <w:highlight w:val="none"/>
          <w:lang w:val="en-US" w:eastAsia="zh-CN"/>
        </w:rPr>
        <w:t>13</w:t>
      </w:r>
      <w:r>
        <w:rPr>
          <w:rFonts w:hint="eastAsia" w:ascii="仿宋_GB2312" w:hAnsi="仿宋" w:eastAsia="仿宋_GB2312" w:cs="Times New Roman"/>
          <w:b w:val="0"/>
          <w:bCs/>
          <w:color w:val="auto"/>
          <w:sz w:val="32"/>
          <w:szCs w:val="32"/>
          <w:highlight w:val="none"/>
        </w:rPr>
        <w:t>位研究人员数据使用申请，累计2</w:t>
      </w:r>
      <w:r>
        <w:rPr>
          <w:rFonts w:hint="eastAsia" w:ascii="仿宋_GB2312" w:hAnsi="仿宋" w:eastAsia="仿宋_GB2312" w:cs="Times New Roman"/>
          <w:b w:val="0"/>
          <w:bCs/>
          <w:color w:val="auto"/>
          <w:sz w:val="32"/>
          <w:szCs w:val="32"/>
          <w:highlight w:val="none"/>
          <w:lang w:val="en-US" w:eastAsia="zh-CN"/>
        </w:rPr>
        <w:t>222</w:t>
      </w:r>
      <w:r>
        <w:rPr>
          <w:rFonts w:hint="eastAsia" w:ascii="仿宋_GB2312" w:hAnsi="仿宋" w:eastAsia="仿宋_GB2312" w:cs="Times New Roman"/>
          <w:b w:val="0"/>
          <w:bCs/>
          <w:color w:val="auto"/>
          <w:sz w:val="32"/>
          <w:szCs w:val="32"/>
          <w:highlight w:val="none"/>
        </w:rPr>
        <w:t>人次使用微观数据。</w:t>
      </w:r>
      <w:r>
        <w:rPr>
          <w:rFonts w:hint="eastAsia" w:ascii="仿宋_GB2312" w:hAnsi="仿宋_GB2312" w:eastAsia="仿宋_GB2312" w:cs="仿宋_GB2312"/>
          <w:b/>
          <w:bCs w:val="0"/>
          <w:color w:val="auto"/>
          <w:sz w:val="32"/>
          <w:szCs w:val="32"/>
          <w:highlight w:val="none"/>
          <w:lang w:eastAsia="zh-CN"/>
        </w:rPr>
        <w:t>不断提高依申请公开质效。</w:t>
      </w:r>
      <w:r>
        <w:rPr>
          <w:rFonts w:hint="eastAsia" w:ascii="仿宋_GB2312" w:hAnsi="仿宋" w:eastAsia="仿宋_GB2312" w:cs="Times New Roman"/>
          <w:b w:val="0"/>
          <w:bCs/>
          <w:color w:val="auto"/>
          <w:sz w:val="32"/>
          <w:szCs w:val="32"/>
          <w:highlight w:val="none"/>
          <w:lang w:val="en" w:eastAsia="zh-CN"/>
        </w:rPr>
        <w:t>按程序做好受理、转办、审核、合法性审查及答复工作；</w:t>
      </w:r>
      <w:r>
        <w:rPr>
          <w:rFonts w:hint="eastAsia" w:ascii="仿宋_GB2312" w:hAnsi="仿宋" w:eastAsia="仿宋_GB2312" w:cs="Times New Roman"/>
          <w:b w:val="0"/>
          <w:bCs/>
          <w:color w:val="auto"/>
          <w:sz w:val="32"/>
          <w:szCs w:val="32"/>
          <w:highlight w:val="none"/>
          <w:lang w:val="en"/>
        </w:rPr>
        <w:t>优化</w:t>
      </w:r>
      <w:r>
        <w:rPr>
          <w:rFonts w:hint="eastAsia" w:ascii="仿宋_GB2312" w:hAnsi="仿宋" w:eastAsia="仿宋_GB2312" w:cs="Times New Roman"/>
          <w:b w:val="0"/>
          <w:bCs/>
          <w:color w:val="auto"/>
          <w:sz w:val="32"/>
          <w:szCs w:val="32"/>
          <w:highlight w:val="none"/>
          <w:lang w:val="en" w:eastAsia="zh-CN"/>
        </w:rPr>
        <w:t>在线申请</w:t>
      </w:r>
      <w:r>
        <w:rPr>
          <w:rFonts w:hint="eastAsia" w:ascii="仿宋_GB2312" w:hAnsi="仿宋" w:eastAsia="仿宋_GB2312" w:cs="Times New Roman"/>
          <w:b w:val="0"/>
          <w:bCs/>
          <w:color w:val="auto"/>
          <w:sz w:val="32"/>
          <w:szCs w:val="32"/>
          <w:highlight w:val="none"/>
          <w:lang w:val="en"/>
        </w:rPr>
        <w:t>功能</w:t>
      </w:r>
      <w:r>
        <w:rPr>
          <w:rFonts w:hint="eastAsia" w:ascii="仿宋_GB2312" w:hAnsi="仿宋" w:eastAsia="仿宋_GB2312" w:cs="Times New Roman"/>
          <w:b w:val="0"/>
          <w:bCs/>
          <w:color w:val="auto"/>
          <w:sz w:val="32"/>
          <w:szCs w:val="32"/>
          <w:highlight w:val="none"/>
          <w:lang w:val="en" w:eastAsia="zh-CN"/>
        </w:rPr>
        <w:t>，严格</w:t>
      </w:r>
      <w:r>
        <w:rPr>
          <w:rFonts w:hint="eastAsia" w:ascii="仿宋_GB2312" w:hAnsi="仿宋" w:eastAsia="仿宋_GB2312" w:cs="Times New Roman"/>
          <w:b w:val="0"/>
          <w:bCs/>
          <w:color w:val="auto"/>
          <w:sz w:val="32"/>
          <w:szCs w:val="32"/>
          <w:highlight w:val="none"/>
          <w:lang w:val="en"/>
        </w:rPr>
        <w:t>证件审核，提升办理规范性和时效性。</w:t>
      </w:r>
      <w:r>
        <w:rPr>
          <w:rFonts w:hint="eastAsia" w:ascii="仿宋_GB2312" w:hAnsi="仿宋_GB2312" w:eastAsia="仿宋_GB2312" w:cs="仿宋_GB2312"/>
          <w:b/>
          <w:bCs w:val="0"/>
          <w:color w:val="auto"/>
          <w:sz w:val="32"/>
          <w:szCs w:val="32"/>
          <w:highlight w:val="none"/>
          <w:lang w:val="en" w:eastAsia="zh-CN"/>
        </w:rPr>
        <w:t>持续开展统计科普。</w:t>
      </w:r>
      <w:r>
        <w:rPr>
          <w:rFonts w:hint="eastAsia" w:ascii="仿宋_GB2312" w:hAnsi="仿宋" w:eastAsia="仿宋_GB2312" w:cs="Times New Roman"/>
          <w:b w:val="0"/>
          <w:bCs/>
          <w:color w:val="auto"/>
          <w:sz w:val="32"/>
          <w:szCs w:val="32"/>
          <w:highlight w:val="none"/>
          <w:lang w:val="en" w:eastAsia="zh-CN"/>
        </w:rPr>
        <w:t>积极通过统计新媒体平台或与主流媒体合作等途径，推出形式多样、通俗易懂的统计科普产品，帮助社会公众准确使用统计指标、理解统计数据</w:t>
      </w:r>
      <w:r>
        <w:rPr>
          <w:rFonts w:hint="eastAsia" w:ascii="仿宋_GB2312" w:hAnsi="仿宋" w:eastAsia="仿宋_GB2312" w:cs="Times New Roman"/>
          <w:b w:val="0"/>
          <w:bCs/>
          <w:color w:val="auto"/>
          <w:sz w:val="32"/>
          <w:szCs w:val="32"/>
          <w:highlight w:val="none"/>
          <w:lang w:val="en"/>
        </w:rPr>
        <w:t>。</w:t>
      </w:r>
    </w:p>
    <w:p>
      <w:pPr>
        <w:widowControl w:val="0"/>
        <w:numPr>
          <w:ilvl w:val="0"/>
          <w:numId w:val="0"/>
        </w:numPr>
        <w:jc w:val="both"/>
        <w:rPr>
          <w:rFonts w:hint="eastAsia"/>
          <w:lang w:val="en"/>
        </w:rPr>
      </w:pPr>
      <w:r>
        <w:rPr>
          <w:rFonts w:hint="eastAsia" w:ascii="楷体_GB2312" w:hAnsi="楷体_GB2312" w:eastAsia="楷体_GB2312" w:cs="楷体_GB2312"/>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373380</wp:posOffset>
            </wp:positionH>
            <wp:positionV relativeFrom="paragraph">
              <wp:posOffset>125095</wp:posOffset>
            </wp:positionV>
            <wp:extent cx="4813300" cy="3610610"/>
            <wp:effectExtent l="0" t="0" r="6350" b="8890"/>
            <wp:wrapSquare wrapText="bothSides"/>
            <wp:docPr id="5" name="图片 18" descr="9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8" descr="999"/>
                    <pic:cNvPicPr>
                      <a:picLocks noChangeAspect="true"/>
                    </pic:cNvPicPr>
                  </pic:nvPicPr>
                  <pic:blipFill>
                    <a:blip r:embed="rId9"/>
                    <a:stretch>
                      <a:fillRect/>
                    </a:stretch>
                  </pic:blipFill>
                  <pic:spPr>
                    <a:xfrm>
                      <a:off x="0" y="0"/>
                      <a:ext cx="4813300" cy="3610610"/>
                    </a:xfrm>
                    <a:prstGeom prst="rect">
                      <a:avLst/>
                    </a:prstGeom>
                    <a:noFill/>
                    <a:ln>
                      <a:noFill/>
                    </a:ln>
                  </pic:spPr>
                </pic:pic>
              </a:graphicData>
            </a:graphic>
          </wp:anchor>
        </w:drawing>
      </w:r>
    </w:p>
    <w:p>
      <w:pPr>
        <w:widowControl w:val="0"/>
        <w:numPr>
          <w:ilvl w:val="0"/>
          <w:numId w:val="0"/>
        </w:numPr>
        <w:jc w:val="both"/>
        <w:rPr>
          <w:rFonts w:hint="eastAsia" w:ascii="仿宋_GB2312" w:hAnsi="仿宋_GB2312" w:eastAsia="仿宋_GB2312" w:cs="仿宋_GB2312"/>
          <w:b/>
          <w:bCs/>
          <w:sz w:val="32"/>
          <w:szCs w:val="32"/>
          <w:lang w:val="en"/>
        </w:rPr>
      </w:pPr>
    </w:p>
    <w:p>
      <w:pPr>
        <w:widowControl w:val="0"/>
        <w:numPr>
          <w:ilvl w:val="0"/>
          <w:numId w:val="0"/>
        </w:numPr>
        <w:jc w:val="both"/>
        <w:rPr>
          <w:rFonts w:hint="eastAsia" w:ascii="仿宋_GB2312" w:hAnsi="仿宋_GB2312" w:eastAsia="仿宋_GB2312" w:cs="仿宋_GB2312"/>
          <w:sz w:val="32"/>
          <w:szCs w:val="32"/>
          <w:lang w:val="en"/>
        </w:rPr>
      </w:pPr>
    </w:p>
    <w:p>
      <w:pPr>
        <w:widowControl w:val="0"/>
        <w:numPr>
          <w:ilvl w:val="0"/>
          <w:numId w:val="0"/>
        </w:numPr>
        <w:jc w:val="both"/>
        <w:rPr>
          <w:rFonts w:hint="eastAsia" w:ascii="仿宋_GB2312" w:hAnsi="仿宋_GB2312" w:eastAsia="仿宋_GB2312" w:cs="仿宋_GB2312"/>
          <w:sz w:val="32"/>
          <w:szCs w:val="32"/>
          <w:lang w:val="en"/>
        </w:rPr>
      </w:pPr>
    </w:p>
    <w:p>
      <w:pPr>
        <w:widowControl w:val="0"/>
        <w:numPr>
          <w:ilvl w:val="0"/>
          <w:numId w:val="0"/>
        </w:numPr>
        <w:jc w:val="both"/>
        <w:rPr>
          <w:rFonts w:hint="eastAsia" w:ascii="仿宋_GB2312" w:hAnsi="仿宋_GB2312" w:eastAsia="仿宋_GB2312" w:cs="仿宋_GB2312"/>
          <w:sz w:val="32"/>
          <w:szCs w:val="32"/>
          <w:lang w:val="en"/>
        </w:rPr>
      </w:pPr>
    </w:p>
    <w:p>
      <w:pPr>
        <w:widowControl w:val="0"/>
        <w:numPr>
          <w:ilvl w:val="0"/>
          <w:numId w:val="0"/>
        </w:numPr>
        <w:jc w:val="both"/>
        <w:rPr>
          <w:rFonts w:hint="eastAsia" w:ascii="仿宋_GB2312" w:hAnsi="仿宋_GB2312" w:eastAsia="仿宋_GB2312" w:cs="仿宋_GB2312"/>
          <w:sz w:val="32"/>
          <w:szCs w:val="32"/>
          <w:lang w:val="en"/>
        </w:rPr>
      </w:pPr>
    </w:p>
    <w:p>
      <w:pPr>
        <w:widowControl w:val="0"/>
        <w:numPr>
          <w:ilvl w:val="0"/>
          <w:numId w:val="0"/>
        </w:numPr>
        <w:jc w:val="both"/>
        <w:rPr>
          <w:rFonts w:hint="eastAsia" w:ascii="仿宋_GB2312" w:hAnsi="仿宋_GB2312" w:eastAsia="仿宋_GB2312" w:cs="仿宋_GB2312"/>
          <w:sz w:val="32"/>
          <w:szCs w:val="32"/>
          <w:lang w:val="en"/>
        </w:rPr>
      </w:pPr>
    </w:p>
    <w:p>
      <w:pPr>
        <w:widowControl w:val="0"/>
        <w:numPr>
          <w:ilvl w:val="0"/>
          <w:numId w:val="0"/>
        </w:numPr>
        <w:jc w:val="both"/>
        <w:rPr>
          <w:rFonts w:hint="eastAsia" w:ascii="仿宋_GB2312" w:hAnsi="仿宋_GB2312" w:eastAsia="仿宋_GB2312" w:cs="仿宋_GB2312"/>
          <w:sz w:val="32"/>
          <w:szCs w:val="32"/>
          <w:lang w:val="e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
        </w:rPr>
      </w:pPr>
      <w:r>
        <w:rPr>
          <w:rFonts w:hint="eastAsia" w:ascii="楷体_GB2312" w:hAnsi="楷体_GB2312" w:eastAsia="楷体_GB2312" w:cs="楷体_GB2312"/>
          <w:b w:val="0"/>
          <w:bCs w:val="0"/>
          <w:color w:val="auto"/>
          <w:kern w:val="2"/>
          <w:sz w:val="32"/>
          <w:szCs w:val="32"/>
          <w:highlight w:val="none"/>
          <w:lang w:val="en" w:eastAsia="zh-CN" w:bidi="ar-SA"/>
        </w:rPr>
        <w:t>（五）扎实做好组织保障。</w:t>
      </w:r>
      <w:r>
        <w:rPr>
          <w:rFonts w:hint="eastAsia" w:ascii="仿宋_GB2312" w:hAnsi="仿宋_GB2312" w:eastAsia="仿宋_GB2312" w:cs="仿宋_GB2312"/>
          <w:sz w:val="32"/>
          <w:szCs w:val="32"/>
          <w:lang w:val="en"/>
        </w:rPr>
        <w:t>切实发挥政务公开工作领导小组作用，完善工作机制，加强分工协作，经常性指导监督，确保公开各项工作落实落地。编制发布《2020年国家统计局政府信息公开工作报告》，制定印发《国家统计局2021年政务公开工作要点》《统计领域基层政务公开标准指引》。加快推进宏观统计数据服务应用与全国一体化政务服务平台的对接。</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600" w:lineRule="exact"/>
        <w:ind w:firstLine="640" w:firstLineChars="200"/>
        <w:textAlignment w:val="auto"/>
        <w:outlineLvl w:val="0"/>
        <w:rPr>
          <w:rFonts w:hint="eastAsia" w:ascii="黑体" w:hAnsi="黑体" w:eastAsia="黑体" w:cs="宋体"/>
          <w:bCs/>
          <w:kern w:val="0"/>
          <w:sz w:val="32"/>
          <w:szCs w:val="32"/>
          <w:highlight w:val="none"/>
        </w:rPr>
      </w:pPr>
      <w:r>
        <w:rPr>
          <w:rFonts w:hint="eastAsia" w:ascii="黑体" w:hAnsi="黑体" w:eastAsia="黑体" w:cs="宋体"/>
          <w:bCs/>
          <w:kern w:val="0"/>
          <w:sz w:val="32"/>
          <w:szCs w:val="32"/>
          <w:highlight w:val="none"/>
          <w:lang w:val="en-US" w:eastAsia="zh-CN"/>
        </w:rPr>
        <w:t>二、</w:t>
      </w:r>
      <w:r>
        <w:rPr>
          <w:rFonts w:hint="eastAsia" w:ascii="黑体" w:hAnsi="黑体" w:eastAsia="黑体" w:cs="宋体"/>
          <w:bCs/>
          <w:kern w:val="0"/>
          <w:sz w:val="32"/>
          <w:szCs w:val="32"/>
          <w:highlight w:val="none"/>
        </w:rPr>
        <w:t>主动公开政府信息情况</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400" w:lineRule="exact"/>
        <w:textAlignment w:val="auto"/>
        <w:outlineLvl w:val="0"/>
        <w:rPr>
          <w:rFonts w:hint="eastAsia" w:ascii="黑体" w:hAnsi="黑体" w:eastAsia="黑体" w:cs="宋体"/>
          <w:bCs/>
          <w:kern w:val="0"/>
          <w:sz w:val="32"/>
          <w:szCs w:val="32"/>
          <w:highlight w:val="none"/>
        </w:rPr>
      </w:pPr>
    </w:p>
    <w:tbl>
      <w:tblPr>
        <w:tblStyle w:val="13"/>
        <w:tblW w:w="79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85"/>
        <w:gridCol w:w="1905"/>
        <w:gridCol w:w="1920"/>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905" w:type="dxa"/>
            <w:gridSpan w:val="4"/>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sz w:val="20"/>
                <w:szCs w:val="20"/>
                <w:highlight w:val="none"/>
                <w:u w:val="none"/>
              </w:rPr>
            </w:pPr>
            <w:r>
              <w:rPr>
                <w:rFonts w:hint="eastAsia" w:ascii="黑体" w:hAnsi="黑体" w:eastAsia="黑体" w:cs="黑体"/>
                <w:b w:val="0"/>
                <w:bCs w:val="0"/>
                <w:i w:val="0"/>
                <w:color w:val="000000"/>
                <w:kern w:val="0"/>
                <w:sz w:val="28"/>
                <w:szCs w:val="28"/>
                <w:highlight w:val="none"/>
                <w:u w:val="none"/>
                <w:lang w:val="en-US" w:eastAsia="zh-CN" w:bidi="ar"/>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信息内容</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本年制发件数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本年废止件数</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left"/>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规章</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0</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default"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0</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left"/>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行政规范性文件</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8</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default"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2</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rPr>
                <w:rFonts w:hint="default"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905" w:type="dxa"/>
            <w:gridSpan w:val="4"/>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sz w:val="20"/>
                <w:szCs w:val="20"/>
                <w:highlight w:val="none"/>
                <w:u w:val="none"/>
              </w:rPr>
            </w:pPr>
            <w:r>
              <w:rPr>
                <w:rFonts w:hint="eastAsia" w:ascii="黑体" w:hAnsi="黑体" w:eastAsia="黑体" w:cs="黑体"/>
                <w:b w:val="0"/>
                <w:bCs w:val="0"/>
                <w:i w:val="0"/>
                <w:color w:val="000000"/>
                <w:kern w:val="0"/>
                <w:sz w:val="28"/>
                <w:szCs w:val="28"/>
                <w:highlight w:val="none"/>
                <w:u w:val="none"/>
                <w:lang w:val="en-US" w:eastAsia="zh-CN" w:bidi="ar"/>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both"/>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信息内容</w:t>
            </w:r>
          </w:p>
        </w:tc>
        <w:tc>
          <w:tcPr>
            <w:tcW w:w="582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4"/>
                <w:szCs w:val="24"/>
                <w:highlight w:val="none"/>
                <w:u w:val="none"/>
                <w:lang w:val="en-US" w:eastAsia="zh-CN" w:bidi="ar"/>
              </w:rPr>
              <w:t>行政许可</w:t>
            </w:r>
          </w:p>
        </w:tc>
        <w:tc>
          <w:tcPr>
            <w:tcW w:w="582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jc w:val="center"/>
              <w:rPr>
                <w:rFonts w:hint="default" w:ascii="Times New Roman" w:hAnsi="Times New Roman" w:eastAsia="宋体" w:cs="Times New Roman"/>
                <w:i w:val="0"/>
                <w:color w:val="000000"/>
                <w:sz w:val="20"/>
                <w:szCs w:val="20"/>
                <w:highlight w:val="none"/>
                <w:u w:val="none"/>
                <w:lang w:val="en" w:eastAsia="zh-CN"/>
              </w:rPr>
            </w:pPr>
            <w:r>
              <w:rPr>
                <w:rFonts w:hint="default" w:ascii="仿宋_GB2312" w:hAnsi="仿宋_GB2312" w:eastAsia="仿宋_GB2312" w:cs="仿宋_GB2312"/>
                <w:i w:val="0"/>
                <w:color w:val="000000"/>
                <w:kern w:val="0"/>
                <w:sz w:val="24"/>
                <w:szCs w:val="24"/>
                <w:highlight w:val="none"/>
                <w:u w:val="none"/>
                <w:lang w:val="en" w:eastAsia="zh-CN" w:bidi="ar"/>
              </w:rPr>
              <w:t>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905" w:type="dxa"/>
            <w:gridSpan w:val="4"/>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sz w:val="20"/>
                <w:szCs w:val="20"/>
                <w:highlight w:val="none"/>
                <w:u w:val="none"/>
              </w:rPr>
            </w:pPr>
            <w:r>
              <w:rPr>
                <w:rFonts w:hint="eastAsia" w:ascii="黑体" w:hAnsi="黑体" w:eastAsia="黑体" w:cs="黑体"/>
                <w:b w:val="0"/>
                <w:bCs w:val="0"/>
                <w:i w:val="0"/>
                <w:color w:val="000000"/>
                <w:kern w:val="0"/>
                <w:sz w:val="28"/>
                <w:szCs w:val="28"/>
                <w:highlight w:val="none"/>
                <w:u w:val="none"/>
                <w:lang w:val="en-US" w:eastAsia="zh-CN" w:bidi="ar"/>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信息内容</w:t>
            </w:r>
          </w:p>
        </w:tc>
        <w:tc>
          <w:tcPr>
            <w:tcW w:w="582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left"/>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行政处罚</w:t>
            </w:r>
          </w:p>
        </w:tc>
        <w:tc>
          <w:tcPr>
            <w:tcW w:w="582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default"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left"/>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行政强制</w:t>
            </w:r>
          </w:p>
        </w:tc>
        <w:tc>
          <w:tcPr>
            <w:tcW w:w="582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default"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905" w:type="dxa"/>
            <w:gridSpan w:val="4"/>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sz w:val="20"/>
                <w:szCs w:val="20"/>
                <w:highlight w:val="none"/>
                <w:u w:val="none"/>
              </w:rPr>
            </w:pPr>
            <w:r>
              <w:rPr>
                <w:rFonts w:hint="eastAsia" w:ascii="黑体" w:hAnsi="黑体" w:eastAsia="黑体" w:cs="黑体"/>
                <w:b w:val="0"/>
                <w:bCs w:val="0"/>
                <w:i w:val="0"/>
                <w:color w:val="000000"/>
                <w:kern w:val="0"/>
                <w:sz w:val="28"/>
                <w:szCs w:val="28"/>
                <w:highlight w:val="none"/>
                <w:u w:val="none"/>
                <w:lang w:val="en-US" w:eastAsia="zh-CN" w:bidi="ar"/>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信息内容</w:t>
            </w:r>
          </w:p>
        </w:tc>
        <w:tc>
          <w:tcPr>
            <w:tcW w:w="582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2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4"/>
                <w:szCs w:val="24"/>
                <w:highlight w:val="none"/>
                <w:u w:val="none"/>
                <w:lang w:val="en-US" w:eastAsia="zh-CN" w:bidi="ar"/>
              </w:rPr>
              <w:t>行政事业性收费</w:t>
            </w:r>
          </w:p>
        </w:tc>
        <w:tc>
          <w:tcPr>
            <w:tcW w:w="582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jc w:val="center"/>
              <w:textAlignment w:val="center"/>
              <w:rPr>
                <w:rFonts w:hint="default" w:ascii="Times New Roman" w:hAnsi="Times New Roman" w:eastAsia="宋体" w:cs="Times New Roman"/>
                <w:i w:val="0"/>
                <w:color w:val="000000"/>
                <w:sz w:val="20"/>
                <w:szCs w:val="20"/>
                <w:highlight w:val="none"/>
                <w:u w:val="none"/>
                <w:lang w:val="en"/>
              </w:rPr>
            </w:pPr>
            <w:r>
              <w:rPr>
                <w:rFonts w:hint="default" w:ascii="仿宋_GB2312" w:hAnsi="仿宋_GB2312" w:eastAsia="仿宋_GB2312" w:cs="仿宋_GB2312"/>
                <w:i w:val="0"/>
                <w:color w:val="000000"/>
                <w:kern w:val="0"/>
                <w:sz w:val="24"/>
                <w:szCs w:val="24"/>
                <w:highlight w:val="none"/>
                <w:u w:val="none"/>
                <w:lang w:val="en" w:eastAsia="zh-CN" w:bidi="ar"/>
              </w:rPr>
              <w:t>86.</w:t>
            </w:r>
            <w:bookmarkStart w:id="1" w:name="_GoBack"/>
            <w:bookmarkEnd w:id="1"/>
            <w:r>
              <w:rPr>
                <w:rFonts w:hint="default" w:ascii="仿宋_GB2312" w:hAnsi="仿宋_GB2312" w:eastAsia="仿宋_GB2312" w:cs="仿宋_GB2312"/>
                <w:i w:val="0"/>
                <w:color w:val="000000"/>
                <w:kern w:val="0"/>
                <w:sz w:val="24"/>
                <w:szCs w:val="24"/>
                <w:highlight w:val="none"/>
                <w:u w:val="none"/>
                <w:lang w:val="en" w:eastAsia="zh-CN" w:bidi="ar"/>
              </w:rPr>
              <w:t>39</w:t>
            </w:r>
          </w:p>
        </w:tc>
      </w:tr>
    </w:tbl>
    <w:p>
      <w:pPr>
        <w:keepNext w:val="0"/>
        <w:keepLines w:val="0"/>
        <w:pageBreakBefore w:val="0"/>
        <w:widowControl w:val="0"/>
        <w:kinsoku/>
        <w:wordWrap/>
        <w:overflowPunct/>
        <w:topLinePunct w:val="0"/>
        <w:autoSpaceDE/>
        <w:autoSpaceDN/>
        <w:bidi w:val="0"/>
        <w:spacing w:line="600" w:lineRule="exact"/>
        <w:ind w:firstLine="560" w:firstLineChars="200"/>
        <w:jc w:val="left"/>
        <w:textAlignment w:val="auto"/>
        <w:rPr>
          <w:rFonts w:hint="eastAsia" w:ascii="楷体_GB2312" w:hAnsi="楷体_GB2312" w:eastAsia="楷体_GB2312" w:cs="楷体_GB2312"/>
          <w:color w:val="000000"/>
          <w:kern w:val="0"/>
          <w:sz w:val="28"/>
          <w:szCs w:val="28"/>
          <w:highlight w:val="none"/>
          <w:shd w:val="clear" w:color="auto" w:fill="FFFFFF"/>
          <w:lang w:bidi="ar"/>
        </w:rPr>
      </w:pPr>
      <w:r>
        <w:rPr>
          <w:rFonts w:hint="eastAsia" w:ascii="楷体_GB2312" w:hAnsi="楷体_GB2312" w:eastAsia="楷体_GB2312" w:cs="楷体_GB2312"/>
          <w:color w:val="000000"/>
          <w:kern w:val="0"/>
          <w:sz w:val="28"/>
          <w:szCs w:val="28"/>
          <w:highlight w:val="none"/>
          <w:shd w:val="clear" w:color="auto" w:fill="FFFFFF"/>
          <w:lang w:bidi="ar"/>
        </w:rPr>
        <w:t>注：含国家统计局调查队系统数据。</w:t>
      </w:r>
    </w:p>
    <w:p>
      <w:pPr>
        <w:keepNext w:val="0"/>
        <w:keepLines w:val="0"/>
        <w:pageBreakBefore w:val="0"/>
        <w:widowControl w:val="0"/>
        <w:numPr>
          <w:ilvl w:val="0"/>
          <w:numId w:val="0"/>
        </w:numPr>
        <w:shd w:val="clear" w:color="auto" w:fill="FFFFFF"/>
        <w:kinsoku/>
        <w:wordWrap/>
        <w:overflowPunct/>
        <w:topLinePunct w:val="0"/>
        <w:autoSpaceDE/>
        <w:autoSpaceDN/>
        <w:bidi w:val="0"/>
        <w:spacing w:line="600" w:lineRule="exact"/>
        <w:ind w:firstLine="640" w:firstLineChars="200"/>
        <w:textAlignment w:val="auto"/>
        <w:outlineLvl w:val="0"/>
        <w:rPr>
          <w:rFonts w:hint="eastAsia"/>
          <w:kern w:val="2"/>
          <w:sz w:val="21"/>
          <w:szCs w:val="24"/>
          <w:highlight w:val="none"/>
          <w:lang w:val="en-US" w:eastAsia="zh-CN" w:bidi="ar-SA"/>
        </w:rPr>
      </w:pPr>
      <w:r>
        <w:rPr>
          <w:rFonts w:hint="eastAsia" w:ascii="黑体" w:hAnsi="黑体" w:eastAsia="黑体" w:cs="宋体"/>
          <w:bCs/>
          <w:kern w:val="0"/>
          <w:sz w:val="32"/>
          <w:szCs w:val="32"/>
          <w:highlight w:val="none"/>
          <w:lang w:val="en-US" w:eastAsia="zh-CN"/>
        </w:rPr>
        <w:t>三、</w:t>
      </w:r>
      <w:r>
        <w:rPr>
          <w:rFonts w:hint="eastAsia" w:ascii="黑体" w:hAnsi="黑体" w:eastAsia="黑体" w:cs="宋体"/>
          <w:bCs/>
          <w:kern w:val="0"/>
          <w:sz w:val="32"/>
          <w:szCs w:val="32"/>
          <w:highlight w:val="none"/>
        </w:rPr>
        <w:t>收到和处理政府信息公开申请情况</w:t>
      </w:r>
    </w:p>
    <w:tbl>
      <w:tblPr>
        <w:tblStyle w:val="13"/>
        <w:tblpPr w:leftFromText="180" w:rightFromText="180" w:vertAnchor="text" w:horzAnchor="page" w:tblpXSpec="center" w:tblpY="612"/>
        <w:tblOverlap w:val="never"/>
        <w:tblW w:w="94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0"/>
        <w:gridCol w:w="1088"/>
        <w:gridCol w:w="1911"/>
        <w:gridCol w:w="938"/>
        <w:gridCol w:w="781"/>
        <w:gridCol w:w="781"/>
        <w:gridCol w:w="824"/>
        <w:gridCol w:w="781"/>
        <w:gridCol w:w="660"/>
        <w:gridCol w:w="5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4059"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（本列数据的勾稽关系为：第一项加第二项之和，等于第三项加第四项之和）</w:t>
            </w:r>
          </w:p>
        </w:tc>
        <w:tc>
          <w:tcPr>
            <w:tcW w:w="5342"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申请人情况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4059"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自然人</w:t>
            </w:r>
          </w:p>
        </w:tc>
        <w:tc>
          <w:tcPr>
            <w:tcW w:w="3827"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法人或其他组织</w:t>
            </w:r>
          </w:p>
        </w:tc>
        <w:tc>
          <w:tcPr>
            <w:tcW w:w="5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4059"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商业</w:t>
            </w:r>
          </w:p>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企业</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highlight w:val="none"/>
                <w:u w:val="none"/>
                <w:lang w:val="en-US" w:eastAsia="zh-CN" w:bidi="ar"/>
              </w:rPr>
              <w:t>科研</w:t>
            </w:r>
          </w:p>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机构</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社会公益组织</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法律服务机构</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其他</w:t>
            </w:r>
          </w:p>
        </w:tc>
        <w:tc>
          <w:tcPr>
            <w:tcW w:w="57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405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一、本年新收政府信息公开申请数量</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117</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13</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7</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6</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405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二、上年结转政府信息公开申请数量</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0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三、本年度办理结果</w:t>
            </w:r>
          </w:p>
        </w:tc>
        <w:tc>
          <w:tcPr>
            <w:tcW w:w="299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（一）予以公开</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70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12</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7</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6</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299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（二）部分公开（区分处理的，只计这一情形，不计其他情形）</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9</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（三）不予公开</w:t>
            </w: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1.属于国家秘密</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2.其他法律行政法规禁止公开</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3.危及“三安全一稳定”</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4.保护第三方合法权益</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5.属于三类内部事务信息</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3</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6.属于四类过程性信息</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7.属于行政执法案卷</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8.属于行政查询事项</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（四）无法提供</w:t>
            </w: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1.本机关不掌握相关政府信息</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24</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2.没有现成信息需要另行制作</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3.补正后申请内容仍不明确</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（五）不予处理</w:t>
            </w: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1.信访举报投诉类申请</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2.重复申请</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4</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3.要求提供公开出版物</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3</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lang w:val="en-US" w:eastAsia="zh-CN"/>
              </w:rPr>
            </w:pPr>
            <w:r>
              <w:rPr>
                <w:rFonts w:hint="eastAsia" w:ascii="仿宋_GB2312" w:hAnsi="宋体" w:eastAsia="仿宋_GB2312" w:cs="仿宋_GB2312"/>
                <w:i w:val="0"/>
                <w:color w:val="000000"/>
                <w:sz w:val="24"/>
                <w:szCs w:val="24"/>
                <w:highlight w:val="none"/>
                <w:u w:val="none"/>
                <w:lang w:val="en-US" w:eastAsia="zh-CN"/>
              </w:rPr>
              <w:t>1</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4.无正当理由大量反复申请</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5.要求行政机关确认或重新出具已获取信息</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center"/>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（六）其他处理</w:t>
            </w: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1.申请人无正当理由逾期不补正、行政机关不再处理其政府信息公开申请</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2.申请人逾期未按收费通知要求缴纳费用、行政机关不再处理其政府信息公开申请</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楷体" w:hAnsi="楷体" w:eastAsia="楷体" w:cs="楷体"/>
                <w:i w:val="0"/>
                <w:color w:val="000000"/>
                <w:sz w:val="24"/>
                <w:szCs w:val="24"/>
                <w:highlight w:val="none"/>
                <w:u w:val="none"/>
              </w:rPr>
            </w:pPr>
          </w:p>
        </w:tc>
        <w:tc>
          <w:tcPr>
            <w:tcW w:w="1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3.其他</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0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i w:val="0"/>
                <w:color w:val="000000"/>
                <w:sz w:val="24"/>
                <w:szCs w:val="24"/>
                <w:highlight w:val="none"/>
                <w:u w:val="none"/>
              </w:rPr>
            </w:pPr>
          </w:p>
        </w:tc>
        <w:tc>
          <w:tcPr>
            <w:tcW w:w="299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（七）总计</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117</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13</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7</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6</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i w:val="0"/>
                <w:color w:val="000000"/>
                <w:sz w:val="24"/>
                <w:szCs w:val="24"/>
                <w:highlight w:val="none"/>
                <w:u w:val="none"/>
                <w:lang w:val="en-US"/>
              </w:rPr>
            </w:pPr>
            <w:r>
              <w:rPr>
                <w:rFonts w:hint="eastAsia" w:ascii="仿宋_GB2312" w:hAnsi="宋体" w:eastAsia="仿宋_GB2312" w:cs="仿宋_GB2312"/>
                <w:i w:val="0"/>
                <w:color w:val="000000"/>
                <w:kern w:val="0"/>
                <w:sz w:val="24"/>
                <w:szCs w:val="24"/>
                <w:highlight w:val="none"/>
                <w:u w:val="none"/>
                <w:lang w:val="en-US" w:eastAsia="zh-CN" w:bidi="ar"/>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405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四、结转下年度继续办理</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8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7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i w:val="0"/>
                <w:color w:val="000000"/>
                <w:sz w:val="24"/>
                <w:szCs w:val="24"/>
                <w:highlight w:val="none"/>
                <w:u w:val="none"/>
              </w:rPr>
            </w:pPr>
            <w:r>
              <w:rPr>
                <w:rFonts w:hint="eastAsia" w:ascii="仿宋_GB2312" w:hAnsi="宋体" w:eastAsia="仿宋_GB2312" w:cs="仿宋_GB2312"/>
                <w:i w:val="0"/>
                <w:color w:val="000000"/>
                <w:kern w:val="0"/>
                <w:sz w:val="24"/>
                <w:szCs w:val="24"/>
                <w:highlight w:val="none"/>
                <w:u w:val="none"/>
                <w:lang w:val="en-US" w:eastAsia="zh-CN" w:bidi="ar"/>
              </w:rPr>
              <w:t>0</w:t>
            </w:r>
          </w:p>
        </w:tc>
      </w:tr>
    </w:tbl>
    <w:p>
      <w:pPr>
        <w:keepNext w:val="0"/>
        <w:keepLines w:val="0"/>
        <w:pageBreakBefore w:val="0"/>
        <w:widowControl w:val="0"/>
        <w:kinsoku/>
        <w:wordWrap/>
        <w:overflowPunct/>
        <w:topLinePunct w:val="0"/>
        <w:autoSpaceDE/>
        <w:autoSpaceDN/>
        <w:bidi w:val="0"/>
        <w:spacing w:line="600" w:lineRule="exact"/>
        <w:ind w:firstLine="560" w:firstLineChars="200"/>
        <w:jc w:val="left"/>
        <w:textAlignment w:val="auto"/>
        <w:rPr>
          <w:rFonts w:hint="eastAsia" w:ascii="楷体_GB2312" w:hAnsi="楷体_GB2312" w:eastAsia="楷体_GB2312" w:cs="楷体_GB2312"/>
          <w:color w:val="000000"/>
          <w:kern w:val="0"/>
          <w:sz w:val="28"/>
          <w:szCs w:val="28"/>
          <w:highlight w:val="none"/>
          <w:shd w:val="clear" w:color="auto" w:fill="FFFFFF"/>
          <w:lang w:bidi="ar"/>
        </w:rPr>
      </w:pPr>
      <w:r>
        <w:rPr>
          <w:rFonts w:hint="eastAsia" w:ascii="楷体_GB2312" w:hAnsi="楷体_GB2312" w:eastAsia="楷体_GB2312" w:cs="楷体_GB2312"/>
          <w:color w:val="000000"/>
          <w:kern w:val="0"/>
          <w:sz w:val="28"/>
          <w:szCs w:val="28"/>
          <w:highlight w:val="none"/>
          <w:shd w:val="clear" w:color="auto" w:fill="FFFFFF"/>
          <w:lang w:bidi="ar"/>
        </w:rPr>
        <w:t>注：含国家统计局调查队系统数据。</w:t>
      </w:r>
    </w:p>
    <w:p>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黑体" w:hAnsi="黑体" w:eastAsia="黑体" w:cs="宋体"/>
          <w:bCs/>
          <w:kern w:val="0"/>
          <w:sz w:val="32"/>
          <w:szCs w:val="32"/>
          <w:highlight w:val="none"/>
          <w:lang w:val="en-US" w:eastAsia="zh-CN"/>
        </w:rPr>
      </w:pPr>
    </w:p>
    <w:p>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黑体" w:hAnsi="黑体" w:eastAsia="黑体" w:cs="宋体"/>
          <w:bCs/>
          <w:kern w:val="0"/>
          <w:sz w:val="32"/>
          <w:szCs w:val="32"/>
          <w:highlight w:val="none"/>
        </w:rPr>
      </w:pPr>
      <w:r>
        <w:rPr>
          <w:rFonts w:hint="eastAsia" w:ascii="黑体" w:hAnsi="黑体" w:eastAsia="黑体" w:cs="宋体"/>
          <w:bCs/>
          <w:kern w:val="0"/>
          <w:sz w:val="32"/>
          <w:szCs w:val="32"/>
          <w:highlight w:val="none"/>
          <w:lang w:val="en-US" w:eastAsia="zh-CN"/>
        </w:rPr>
        <w:t>四、</w:t>
      </w:r>
      <w:r>
        <w:rPr>
          <w:rFonts w:hint="eastAsia" w:ascii="黑体" w:hAnsi="黑体" w:eastAsia="黑体" w:cs="宋体"/>
          <w:bCs/>
          <w:kern w:val="0"/>
          <w:sz w:val="32"/>
          <w:szCs w:val="32"/>
          <w:highlight w:val="none"/>
        </w:rPr>
        <w:t>政府信息公开行政复议、行政诉讼情况</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400" w:lineRule="exact"/>
        <w:ind w:left="641" w:leftChars="0"/>
        <w:textAlignment w:val="auto"/>
        <w:outlineLvl w:val="0"/>
        <w:rPr>
          <w:rFonts w:hint="eastAsia" w:ascii="黑体" w:hAnsi="黑体" w:eastAsia="黑体" w:cs="宋体"/>
          <w:bCs/>
          <w:kern w:val="0"/>
          <w:sz w:val="32"/>
          <w:szCs w:val="32"/>
          <w:highlight w:val="none"/>
        </w:rPr>
      </w:pPr>
    </w:p>
    <w:tbl>
      <w:tblPr>
        <w:tblStyle w:val="13"/>
        <w:tblW w:w="821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502"/>
        <w:gridCol w:w="502"/>
        <w:gridCol w:w="502"/>
        <w:gridCol w:w="502"/>
        <w:gridCol w:w="502"/>
        <w:gridCol w:w="594"/>
        <w:gridCol w:w="595"/>
        <w:gridCol w:w="594"/>
        <w:gridCol w:w="595"/>
        <w:gridCol w:w="595"/>
        <w:gridCol w:w="545"/>
        <w:gridCol w:w="546"/>
        <w:gridCol w:w="546"/>
        <w:gridCol w:w="546"/>
        <w:gridCol w:w="5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5" w:hRule="atLeast"/>
          <w:jc w:val="center"/>
        </w:trPr>
        <w:tc>
          <w:tcPr>
            <w:tcW w:w="2510" w:type="dxa"/>
            <w:gridSpan w:val="5"/>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kern w:val="0"/>
                <w:sz w:val="28"/>
                <w:szCs w:val="28"/>
                <w:highlight w:val="none"/>
              </w:rPr>
            </w:pPr>
            <w:r>
              <w:rPr>
                <w:rFonts w:hint="eastAsia" w:ascii="黑体" w:hAnsi="黑体" w:eastAsia="黑体" w:cs="黑体"/>
                <w:kern w:val="0"/>
                <w:sz w:val="28"/>
                <w:szCs w:val="28"/>
                <w:highlight w:val="none"/>
              </w:rPr>
              <w:t>行政复议</w:t>
            </w:r>
          </w:p>
        </w:tc>
        <w:tc>
          <w:tcPr>
            <w:tcW w:w="5702" w:type="dxa"/>
            <w:gridSpan w:val="10"/>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kern w:val="0"/>
                <w:sz w:val="28"/>
                <w:szCs w:val="28"/>
                <w:highlight w:val="none"/>
              </w:rPr>
            </w:pPr>
            <w:r>
              <w:rPr>
                <w:rFonts w:hint="eastAsia" w:ascii="黑体" w:hAnsi="黑体" w:eastAsia="黑体" w:cs="黑体"/>
                <w:kern w:val="0"/>
                <w:sz w:val="28"/>
                <w:szCs w:val="28"/>
                <w:highlight w:val="none"/>
              </w:rPr>
              <w:t>行政诉讼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502" w:type="dxa"/>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结果维持</w:t>
            </w:r>
          </w:p>
        </w:tc>
        <w:tc>
          <w:tcPr>
            <w:tcW w:w="502" w:type="dxa"/>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结果纠正</w:t>
            </w:r>
          </w:p>
        </w:tc>
        <w:tc>
          <w:tcPr>
            <w:tcW w:w="502" w:type="dxa"/>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其他结果</w:t>
            </w:r>
          </w:p>
        </w:tc>
        <w:tc>
          <w:tcPr>
            <w:tcW w:w="502" w:type="dxa"/>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尚未审结</w:t>
            </w:r>
          </w:p>
        </w:tc>
        <w:tc>
          <w:tcPr>
            <w:tcW w:w="502" w:type="dxa"/>
            <w:vMerge w:val="restart"/>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总计</w:t>
            </w:r>
          </w:p>
        </w:tc>
        <w:tc>
          <w:tcPr>
            <w:tcW w:w="2973" w:type="dxa"/>
            <w:gridSpan w:val="5"/>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未经复议直接起诉</w:t>
            </w:r>
          </w:p>
        </w:tc>
        <w:tc>
          <w:tcPr>
            <w:tcW w:w="2729" w:type="dxa"/>
            <w:gridSpan w:val="5"/>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复议后起诉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50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p>
        </w:tc>
        <w:tc>
          <w:tcPr>
            <w:tcW w:w="50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p>
        </w:tc>
        <w:tc>
          <w:tcPr>
            <w:tcW w:w="50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p>
        </w:tc>
        <w:tc>
          <w:tcPr>
            <w:tcW w:w="50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p>
        </w:tc>
        <w:tc>
          <w:tcPr>
            <w:tcW w:w="50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p>
        </w:tc>
        <w:tc>
          <w:tcPr>
            <w:tcW w:w="594"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结果维持</w:t>
            </w:r>
          </w:p>
        </w:tc>
        <w:tc>
          <w:tcPr>
            <w:tcW w:w="59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结果纠正</w:t>
            </w:r>
          </w:p>
        </w:tc>
        <w:tc>
          <w:tcPr>
            <w:tcW w:w="594"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其他结果</w:t>
            </w:r>
          </w:p>
        </w:tc>
        <w:tc>
          <w:tcPr>
            <w:tcW w:w="59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尚未审结</w:t>
            </w:r>
          </w:p>
        </w:tc>
        <w:tc>
          <w:tcPr>
            <w:tcW w:w="59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总计</w:t>
            </w:r>
          </w:p>
        </w:tc>
        <w:tc>
          <w:tcPr>
            <w:tcW w:w="54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结果维持</w:t>
            </w:r>
          </w:p>
        </w:tc>
        <w:tc>
          <w:tcPr>
            <w:tcW w:w="54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结果纠正</w:t>
            </w:r>
          </w:p>
        </w:tc>
        <w:tc>
          <w:tcPr>
            <w:tcW w:w="54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其他结果</w:t>
            </w:r>
          </w:p>
        </w:tc>
        <w:tc>
          <w:tcPr>
            <w:tcW w:w="54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尚未审结</w:t>
            </w:r>
          </w:p>
        </w:tc>
        <w:tc>
          <w:tcPr>
            <w:tcW w:w="54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4"/>
                <w:szCs w:val="24"/>
                <w:highlight w:val="none"/>
              </w:rPr>
            </w:pPr>
            <w:r>
              <w:rPr>
                <w:rFonts w:hint="eastAsia" w:ascii="宋体" w:hAnsi="宋体" w:cs="宋体"/>
                <w:kern w:val="0"/>
                <w:sz w:val="24"/>
                <w:szCs w:val="24"/>
                <w:highlight w:val="none"/>
              </w:rPr>
              <w:t>总计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37" w:hRule="atLeast"/>
          <w:jc w:val="center"/>
        </w:trPr>
        <w:tc>
          <w:tcPr>
            <w:tcW w:w="50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val="0"/>
                <w:bCs/>
                <w:color w:val="auto"/>
                <w:kern w:val="0"/>
                <w:sz w:val="24"/>
                <w:szCs w:val="24"/>
                <w:highlight w:val="none"/>
                <w:lang w:eastAsia="zh-CN"/>
              </w:rPr>
            </w:pPr>
            <w:r>
              <w:rPr>
                <w:rFonts w:hint="eastAsia" w:ascii="仿宋_GB2312" w:hAnsi="仿宋_GB2312" w:eastAsia="仿宋_GB2312" w:cs="仿宋_GB2312"/>
                <w:b w:val="0"/>
                <w:bCs/>
                <w:color w:val="auto"/>
                <w:kern w:val="0"/>
                <w:sz w:val="24"/>
                <w:szCs w:val="24"/>
                <w:highlight w:val="none"/>
                <w:lang w:val="en-US" w:eastAsia="zh-CN"/>
              </w:rPr>
              <w:t>7</w:t>
            </w:r>
          </w:p>
        </w:tc>
        <w:tc>
          <w:tcPr>
            <w:tcW w:w="50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b w:val="0"/>
                <w:bCs/>
                <w:color w:val="auto"/>
                <w:kern w:val="0"/>
                <w:sz w:val="24"/>
                <w:szCs w:val="24"/>
                <w:highlight w:val="none"/>
              </w:rPr>
            </w:pPr>
            <w:r>
              <w:rPr>
                <w:rFonts w:hint="eastAsia" w:ascii="仿宋_GB2312" w:hAnsi="仿宋_GB2312" w:eastAsia="仿宋_GB2312" w:cs="仿宋_GB2312"/>
                <w:b w:val="0"/>
                <w:bCs/>
                <w:color w:val="auto"/>
                <w:kern w:val="0"/>
                <w:sz w:val="24"/>
                <w:szCs w:val="24"/>
                <w:highlight w:val="none"/>
              </w:rPr>
              <w:t>0</w:t>
            </w:r>
          </w:p>
        </w:tc>
        <w:tc>
          <w:tcPr>
            <w:tcW w:w="50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val="0"/>
                <w:bCs/>
                <w:color w:val="auto"/>
                <w:kern w:val="0"/>
                <w:sz w:val="24"/>
                <w:szCs w:val="24"/>
                <w:highlight w:val="none"/>
                <w:lang w:eastAsia="zh-CN"/>
              </w:rPr>
            </w:pPr>
            <w:r>
              <w:rPr>
                <w:rFonts w:hint="eastAsia" w:ascii="仿宋_GB2312" w:hAnsi="仿宋_GB2312" w:eastAsia="仿宋_GB2312" w:cs="仿宋_GB2312"/>
                <w:b w:val="0"/>
                <w:bCs/>
                <w:color w:val="auto"/>
                <w:kern w:val="0"/>
                <w:sz w:val="24"/>
                <w:szCs w:val="24"/>
                <w:highlight w:val="none"/>
                <w:lang w:val="en-US" w:eastAsia="zh-CN"/>
              </w:rPr>
              <w:t>0</w:t>
            </w:r>
          </w:p>
        </w:tc>
        <w:tc>
          <w:tcPr>
            <w:tcW w:w="50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b w:val="0"/>
                <w:bCs/>
                <w:color w:val="auto"/>
                <w:kern w:val="0"/>
                <w:sz w:val="24"/>
                <w:szCs w:val="24"/>
                <w:highlight w:val="none"/>
                <w:lang w:eastAsia="zh-CN"/>
              </w:rPr>
            </w:pPr>
            <w:r>
              <w:rPr>
                <w:rFonts w:hint="eastAsia" w:ascii="仿宋_GB2312" w:hAnsi="仿宋_GB2312" w:eastAsia="仿宋_GB2312" w:cs="仿宋_GB2312"/>
                <w:b w:val="0"/>
                <w:bCs/>
                <w:color w:val="auto"/>
                <w:kern w:val="0"/>
                <w:sz w:val="24"/>
                <w:szCs w:val="24"/>
                <w:highlight w:val="none"/>
                <w:lang w:val="en-US" w:eastAsia="zh-CN"/>
              </w:rPr>
              <w:t>1</w:t>
            </w:r>
          </w:p>
        </w:tc>
        <w:tc>
          <w:tcPr>
            <w:tcW w:w="502"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val="0"/>
                <w:bCs/>
                <w:color w:val="auto"/>
                <w:kern w:val="0"/>
                <w:sz w:val="24"/>
                <w:szCs w:val="24"/>
                <w:highlight w:val="none"/>
                <w:lang w:eastAsia="zh-CN"/>
              </w:rPr>
            </w:pPr>
            <w:r>
              <w:rPr>
                <w:rFonts w:hint="eastAsia" w:ascii="仿宋_GB2312" w:hAnsi="仿宋_GB2312" w:eastAsia="仿宋_GB2312" w:cs="仿宋_GB2312"/>
                <w:b w:val="0"/>
                <w:bCs/>
                <w:color w:val="auto"/>
                <w:kern w:val="0"/>
                <w:sz w:val="24"/>
                <w:szCs w:val="24"/>
                <w:highlight w:val="none"/>
                <w:lang w:val="en-US" w:eastAsia="zh-CN"/>
              </w:rPr>
              <w:t>8</w:t>
            </w:r>
          </w:p>
        </w:tc>
        <w:tc>
          <w:tcPr>
            <w:tcW w:w="594"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b w:val="0"/>
                <w:bCs/>
                <w:color w:val="auto"/>
                <w:kern w:val="0"/>
                <w:sz w:val="24"/>
                <w:szCs w:val="24"/>
                <w:highlight w:val="none"/>
                <w:lang w:val="en" w:eastAsia="zh-CN"/>
              </w:rPr>
            </w:pPr>
            <w:r>
              <w:rPr>
                <w:rFonts w:hint="default" w:ascii="仿宋_GB2312" w:hAnsi="仿宋_GB2312" w:eastAsia="仿宋_GB2312" w:cs="仿宋_GB2312"/>
                <w:b w:val="0"/>
                <w:bCs/>
                <w:color w:val="auto"/>
                <w:kern w:val="0"/>
                <w:sz w:val="24"/>
                <w:szCs w:val="24"/>
                <w:highlight w:val="none"/>
                <w:lang w:val="en" w:eastAsia="zh-CN"/>
              </w:rPr>
              <w:t>0</w:t>
            </w:r>
          </w:p>
        </w:tc>
        <w:tc>
          <w:tcPr>
            <w:tcW w:w="59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b w:val="0"/>
                <w:bCs/>
                <w:color w:val="auto"/>
                <w:kern w:val="0"/>
                <w:sz w:val="24"/>
                <w:szCs w:val="24"/>
                <w:highlight w:val="none"/>
              </w:rPr>
            </w:pPr>
            <w:r>
              <w:rPr>
                <w:rFonts w:hint="eastAsia" w:ascii="仿宋_GB2312" w:hAnsi="仿宋_GB2312" w:eastAsia="仿宋_GB2312" w:cs="仿宋_GB2312"/>
                <w:b w:val="0"/>
                <w:bCs/>
                <w:color w:val="auto"/>
                <w:kern w:val="0"/>
                <w:sz w:val="24"/>
                <w:szCs w:val="24"/>
                <w:highlight w:val="none"/>
              </w:rPr>
              <w:t>0</w:t>
            </w:r>
          </w:p>
        </w:tc>
        <w:tc>
          <w:tcPr>
            <w:tcW w:w="594"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b w:val="0"/>
                <w:bCs/>
                <w:color w:val="auto"/>
                <w:kern w:val="0"/>
                <w:sz w:val="24"/>
                <w:szCs w:val="24"/>
                <w:highlight w:val="none"/>
              </w:rPr>
            </w:pPr>
            <w:r>
              <w:rPr>
                <w:rFonts w:hint="eastAsia" w:ascii="仿宋_GB2312" w:hAnsi="仿宋_GB2312" w:eastAsia="仿宋_GB2312" w:cs="仿宋_GB2312"/>
                <w:b w:val="0"/>
                <w:bCs/>
                <w:color w:val="auto"/>
                <w:kern w:val="0"/>
                <w:sz w:val="24"/>
                <w:szCs w:val="24"/>
                <w:highlight w:val="none"/>
              </w:rPr>
              <w:t>0</w:t>
            </w:r>
          </w:p>
        </w:tc>
        <w:tc>
          <w:tcPr>
            <w:tcW w:w="59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b w:val="0"/>
                <w:bCs/>
                <w:color w:val="auto"/>
                <w:kern w:val="0"/>
                <w:sz w:val="24"/>
                <w:szCs w:val="24"/>
                <w:highlight w:val="none"/>
                <w:lang w:val="en"/>
              </w:rPr>
            </w:pPr>
            <w:r>
              <w:rPr>
                <w:rFonts w:hint="default" w:ascii="仿宋_GB2312" w:hAnsi="仿宋_GB2312" w:eastAsia="仿宋_GB2312" w:cs="仿宋_GB2312"/>
                <w:b w:val="0"/>
                <w:bCs/>
                <w:color w:val="auto"/>
                <w:kern w:val="0"/>
                <w:sz w:val="24"/>
                <w:szCs w:val="24"/>
                <w:highlight w:val="none"/>
                <w:lang w:val="en"/>
              </w:rPr>
              <w:t>1</w:t>
            </w:r>
          </w:p>
        </w:tc>
        <w:tc>
          <w:tcPr>
            <w:tcW w:w="59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b w:val="0"/>
                <w:bCs/>
                <w:color w:val="auto"/>
                <w:kern w:val="0"/>
                <w:sz w:val="24"/>
                <w:szCs w:val="24"/>
                <w:highlight w:val="none"/>
                <w:lang w:eastAsia="zh-CN"/>
              </w:rPr>
            </w:pPr>
            <w:r>
              <w:rPr>
                <w:rFonts w:hint="eastAsia" w:ascii="仿宋_GB2312" w:hAnsi="仿宋_GB2312" w:eastAsia="仿宋_GB2312" w:cs="仿宋_GB2312"/>
                <w:b w:val="0"/>
                <w:bCs/>
                <w:color w:val="auto"/>
                <w:kern w:val="0"/>
                <w:sz w:val="24"/>
                <w:szCs w:val="24"/>
                <w:highlight w:val="none"/>
                <w:lang w:val="en-US" w:eastAsia="zh-CN"/>
              </w:rPr>
              <w:t>1</w:t>
            </w:r>
          </w:p>
        </w:tc>
        <w:tc>
          <w:tcPr>
            <w:tcW w:w="545"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b w:val="0"/>
                <w:bCs/>
                <w:color w:val="auto"/>
                <w:kern w:val="0"/>
                <w:sz w:val="24"/>
                <w:szCs w:val="24"/>
                <w:highlight w:val="none"/>
                <w:lang w:val="en" w:eastAsia="zh-CN"/>
              </w:rPr>
            </w:pPr>
            <w:r>
              <w:rPr>
                <w:rFonts w:hint="default" w:ascii="仿宋_GB2312" w:hAnsi="仿宋_GB2312" w:eastAsia="仿宋_GB2312" w:cs="仿宋_GB2312"/>
                <w:b w:val="0"/>
                <w:bCs/>
                <w:color w:val="auto"/>
                <w:kern w:val="0"/>
                <w:sz w:val="24"/>
                <w:szCs w:val="24"/>
                <w:highlight w:val="none"/>
                <w:lang w:val="en" w:eastAsia="zh-CN"/>
              </w:rPr>
              <w:t>0</w:t>
            </w:r>
          </w:p>
        </w:tc>
        <w:tc>
          <w:tcPr>
            <w:tcW w:w="54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b w:val="0"/>
                <w:bCs/>
                <w:color w:val="auto"/>
                <w:kern w:val="0"/>
                <w:sz w:val="24"/>
                <w:szCs w:val="24"/>
                <w:highlight w:val="none"/>
              </w:rPr>
            </w:pPr>
            <w:r>
              <w:rPr>
                <w:rFonts w:hint="eastAsia" w:ascii="仿宋_GB2312" w:hAnsi="仿宋_GB2312" w:eastAsia="仿宋_GB2312" w:cs="仿宋_GB2312"/>
                <w:b w:val="0"/>
                <w:bCs/>
                <w:color w:val="auto"/>
                <w:kern w:val="0"/>
                <w:sz w:val="24"/>
                <w:szCs w:val="24"/>
                <w:highlight w:val="none"/>
              </w:rPr>
              <w:t>0</w:t>
            </w:r>
          </w:p>
        </w:tc>
        <w:tc>
          <w:tcPr>
            <w:tcW w:w="54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b w:val="0"/>
                <w:bCs/>
                <w:color w:val="auto"/>
                <w:kern w:val="0"/>
                <w:sz w:val="24"/>
                <w:szCs w:val="24"/>
                <w:highlight w:val="none"/>
              </w:rPr>
            </w:pPr>
            <w:r>
              <w:rPr>
                <w:rFonts w:hint="eastAsia" w:ascii="仿宋_GB2312" w:hAnsi="仿宋_GB2312" w:eastAsia="仿宋_GB2312" w:cs="仿宋_GB2312"/>
                <w:b w:val="0"/>
                <w:bCs/>
                <w:color w:val="auto"/>
                <w:kern w:val="0"/>
                <w:sz w:val="24"/>
                <w:szCs w:val="24"/>
                <w:highlight w:val="none"/>
              </w:rPr>
              <w:t>0</w:t>
            </w:r>
          </w:p>
        </w:tc>
        <w:tc>
          <w:tcPr>
            <w:tcW w:w="54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b w:val="0"/>
                <w:bCs/>
                <w:color w:val="auto"/>
                <w:kern w:val="0"/>
                <w:sz w:val="24"/>
                <w:szCs w:val="24"/>
                <w:highlight w:val="none"/>
                <w:lang w:val="en"/>
              </w:rPr>
            </w:pPr>
            <w:r>
              <w:rPr>
                <w:rFonts w:hint="default" w:ascii="仿宋_GB2312" w:hAnsi="仿宋_GB2312" w:eastAsia="仿宋_GB2312" w:cs="仿宋_GB2312"/>
                <w:b w:val="0"/>
                <w:bCs/>
                <w:color w:val="auto"/>
                <w:kern w:val="0"/>
                <w:sz w:val="24"/>
                <w:szCs w:val="24"/>
                <w:highlight w:val="none"/>
                <w:lang w:val="en"/>
              </w:rPr>
              <w:t>5</w:t>
            </w:r>
          </w:p>
        </w:tc>
        <w:tc>
          <w:tcPr>
            <w:tcW w:w="546" w:type="dxa"/>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b w:val="0"/>
                <w:bCs/>
                <w:color w:val="auto"/>
                <w:kern w:val="0"/>
                <w:sz w:val="24"/>
                <w:szCs w:val="24"/>
                <w:highlight w:val="none"/>
                <w:lang w:eastAsia="zh-CN"/>
              </w:rPr>
            </w:pPr>
            <w:r>
              <w:rPr>
                <w:rFonts w:hint="eastAsia" w:ascii="仿宋_GB2312" w:hAnsi="仿宋_GB2312" w:eastAsia="仿宋_GB2312" w:cs="仿宋_GB2312"/>
                <w:b w:val="0"/>
                <w:bCs/>
                <w:color w:val="auto"/>
                <w:kern w:val="0"/>
                <w:sz w:val="24"/>
                <w:szCs w:val="24"/>
                <w:highlight w:val="none"/>
                <w:lang w:val="en-US" w:eastAsia="zh-CN"/>
              </w:rPr>
              <w:t>5</w:t>
            </w:r>
          </w:p>
        </w:tc>
      </w:tr>
    </w:tbl>
    <w:p>
      <w:pPr>
        <w:keepNext w:val="0"/>
        <w:keepLines w:val="0"/>
        <w:pageBreakBefore w:val="0"/>
        <w:widowControl w:val="0"/>
        <w:kinsoku/>
        <w:wordWrap/>
        <w:overflowPunct/>
        <w:topLinePunct w:val="0"/>
        <w:autoSpaceDE/>
        <w:autoSpaceDN/>
        <w:bidi w:val="0"/>
        <w:spacing w:line="600" w:lineRule="exact"/>
        <w:ind w:firstLine="560" w:firstLineChars="200"/>
        <w:jc w:val="left"/>
        <w:textAlignment w:val="auto"/>
        <w:rPr>
          <w:rFonts w:ascii="黑体" w:hAnsi="黑体" w:eastAsia="黑体" w:cs="宋体"/>
          <w:bCs/>
          <w:kern w:val="0"/>
          <w:sz w:val="32"/>
          <w:szCs w:val="32"/>
          <w:highlight w:val="none"/>
        </w:rPr>
      </w:pPr>
      <w:r>
        <w:rPr>
          <w:rFonts w:hint="eastAsia" w:ascii="楷体_GB2312" w:hAnsi="楷体_GB2312" w:eastAsia="楷体_GB2312" w:cs="楷体_GB2312"/>
          <w:color w:val="000000"/>
          <w:kern w:val="0"/>
          <w:sz w:val="28"/>
          <w:szCs w:val="28"/>
          <w:highlight w:val="none"/>
          <w:shd w:val="clear" w:color="auto" w:fill="FFFFFF"/>
          <w:lang w:bidi="ar"/>
        </w:rPr>
        <w:t>注：含国家统计局调查队系统数据。</w:t>
      </w:r>
    </w:p>
    <w:p>
      <w:pPr>
        <w:keepNext w:val="0"/>
        <w:keepLines w:val="0"/>
        <w:pageBreakBefore w:val="0"/>
        <w:widowControl w:val="0"/>
        <w:shd w:val="clear" w:color="auto" w:fill="FFFFFF"/>
        <w:kinsoku/>
        <w:wordWrap/>
        <w:overflowPunct/>
        <w:topLinePunct w:val="0"/>
        <w:autoSpaceDE/>
        <w:autoSpaceDN/>
        <w:bidi w:val="0"/>
        <w:spacing w:line="600" w:lineRule="exact"/>
        <w:ind w:firstLine="640" w:firstLineChars="200"/>
        <w:textAlignment w:val="auto"/>
        <w:outlineLvl w:val="0"/>
        <w:rPr>
          <w:rFonts w:hint="eastAsia" w:ascii="黑体" w:hAnsi="黑体" w:eastAsia="黑体" w:cs="宋体"/>
          <w:bCs/>
          <w:color w:val="auto"/>
          <w:kern w:val="0"/>
          <w:sz w:val="32"/>
          <w:szCs w:val="32"/>
          <w:highlight w:val="none"/>
          <w:lang w:eastAsia="zh-CN"/>
        </w:rPr>
      </w:pPr>
      <w:r>
        <w:rPr>
          <w:rFonts w:hint="eastAsia" w:ascii="黑体" w:hAnsi="黑体" w:eastAsia="黑体" w:cs="宋体"/>
          <w:bCs/>
          <w:color w:val="auto"/>
          <w:kern w:val="0"/>
          <w:sz w:val="32"/>
          <w:szCs w:val="32"/>
          <w:highlight w:val="none"/>
        </w:rPr>
        <w:t>五、存在的主要问题及改进</w:t>
      </w:r>
      <w:r>
        <w:rPr>
          <w:rFonts w:hint="eastAsia" w:ascii="黑体" w:hAnsi="黑体" w:eastAsia="黑体" w:cs="宋体"/>
          <w:bCs/>
          <w:color w:val="auto"/>
          <w:kern w:val="0"/>
          <w:sz w:val="32"/>
          <w:szCs w:val="32"/>
          <w:highlight w:val="none"/>
          <w:lang w:eastAsia="zh-CN"/>
        </w:rPr>
        <w:t>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仿宋_GB2312" w:hAnsi="宋体" w:eastAsia="仿宋_GB2312" w:cs="宋体"/>
          <w:color w:val="auto"/>
          <w:kern w:val="0"/>
          <w:sz w:val="32"/>
          <w:szCs w:val="32"/>
          <w:highlight w:val="none"/>
        </w:rPr>
      </w:pPr>
      <w:r>
        <w:rPr>
          <w:rFonts w:ascii="仿宋_GB2312" w:eastAsia="仿宋_GB2312"/>
          <w:color w:val="auto"/>
          <w:sz w:val="32"/>
          <w:szCs w:val="32"/>
          <w:highlight w:val="none"/>
        </w:rPr>
        <w:t>202</w:t>
      </w:r>
      <w:r>
        <w:rPr>
          <w:rFonts w:hint="eastAsia" w:ascii="仿宋_GB2312" w:eastAsia="仿宋_GB2312"/>
          <w:color w:val="auto"/>
          <w:sz w:val="32"/>
          <w:szCs w:val="32"/>
          <w:highlight w:val="none"/>
          <w:lang w:val="en-US" w:eastAsia="zh-CN"/>
        </w:rPr>
        <w:t>1</w:t>
      </w:r>
      <w:r>
        <w:rPr>
          <w:rFonts w:ascii="仿宋_GB2312" w:eastAsia="仿宋_GB2312"/>
          <w:color w:val="auto"/>
          <w:sz w:val="32"/>
          <w:szCs w:val="32"/>
          <w:highlight w:val="none"/>
        </w:rPr>
        <w:t>年，国家</w:t>
      </w:r>
      <w:r>
        <w:rPr>
          <w:rFonts w:hint="eastAsia" w:ascii="仿宋_GB2312" w:eastAsia="仿宋_GB2312"/>
          <w:color w:val="auto"/>
          <w:sz w:val="32"/>
          <w:szCs w:val="32"/>
          <w:highlight w:val="none"/>
          <w:lang w:eastAsia="zh-CN"/>
        </w:rPr>
        <w:t>统计局</w:t>
      </w:r>
      <w:r>
        <w:rPr>
          <w:rFonts w:ascii="仿宋_GB2312" w:eastAsia="仿宋_GB2312"/>
          <w:color w:val="auto"/>
          <w:sz w:val="32"/>
          <w:szCs w:val="32"/>
          <w:highlight w:val="none"/>
        </w:rPr>
        <w:t>政府信息公开</w:t>
      </w:r>
      <w:r>
        <w:rPr>
          <w:rFonts w:hint="eastAsia" w:ascii="仿宋_GB2312" w:eastAsia="仿宋_GB2312"/>
          <w:color w:val="auto"/>
          <w:sz w:val="32"/>
          <w:szCs w:val="32"/>
          <w:highlight w:val="none"/>
          <w:lang w:eastAsia="zh-CN"/>
        </w:rPr>
        <w:t>工作扎实推进、卓有成效，</w:t>
      </w:r>
      <w:r>
        <w:rPr>
          <w:rFonts w:hint="eastAsia" w:ascii="仿宋_GB2312" w:hAnsi="仿宋_GB2312" w:eastAsia="仿宋_GB2312" w:cs="仿宋_GB2312"/>
          <w:color w:val="auto"/>
          <w:kern w:val="0"/>
          <w:sz w:val="32"/>
          <w:szCs w:val="32"/>
          <w:highlight w:val="none"/>
          <w:lang w:val="en-US" w:eastAsia="zh-CN" w:bidi="ar"/>
        </w:rPr>
        <w:t>但面对社会公众对统计公开提出的更高要求，还存在统计</w:t>
      </w:r>
      <w:r>
        <w:rPr>
          <w:rFonts w:hint="default" w:ascii="仿宋_GB2312" w:hAnsi="仿宋_GB2312" w:eastAsia="仿宋_GB2312" w:cs="仿宋_GB2312"/>
          <w:color w:val="auto"/>
          <w:sz w:val="32"/>
          <w:szCs w:val="32"/>
          <w:highlight w:val="none"/>
          <w:lang w:val="en"/>
        </w:rPr>
        <w:t>数据发布内容和方式</w:t>
      </w:r>
      <w:r>
        <w:rPr>
          <w:rFonts w:hint="eastAsia" w:ascii="仿宋_GB2312" w:hAnsi="仿宋_GB2312" w:eastAsia="仿宋_GB2312" w:cs="仿宋_GB2312"/>
          <w:color w:val="auto"/>
          <w:sz w:val="32"/>
          <w:szCs w:val="32"/>
          <w:highlight w:val="none"/>
          <w:lang w:val="en" w:eastAsia="zh-CN"/>
        </w:rPr>
        <w:t>有待进一步拓展、数据解读的针对性有待进一步提高、</w:t>
      </w:r>
      <w:r>
        <w:rPr>
          <w:rFonts w:hint="eastAsia" w:ascii="仿宋_GB2312" w:hAnsi="仿宋_GB2312" w:eastAsia="仿宋_GB2312" w:cs="仿宋_GB2312"/>
          <w:color w:val="auto"/>
          <w:sz w:val="32"/>
          <w:szCs w:val="32"/>
          <w:highlight w:val="none"/>
        </w:rPr>
        <w:t>适应全媒体时代</w:t>
      </w:r>
      <w:r>
        <w:rPr>
          <w:rFonts w:hint="eastAsia" w:ascii="仿宋_GB2312" w:hAnsi="仿宋_GB2312" w:eastAsia="仿宋_GB2312" w:cs="仿宋_GB2312"/>
          <w:color w:val="auto"/>
          <w:sz w:val="32"/>
          <w:szCs w:val="32"/>
          <w:highlight w:val="none"/>
          <w:lang w:eastAsia="zh-CN"/>
        </w:rPr>
        <w:t>发展的统计宣传手段仍需进一步丰富、基层统计信息公开规范性时效性仍需进一步加强等问题。</w:t>
      </w:r>
      <w:r>
        <w:rPr>
          <w:rFonts w:hint="eastAsia" w:ascii="仿宋_GB2312" w:hAnsi="仿宋_GB2312" w:eastAsia="仿宋_GB2312" w:cs="仿宋_GB2312"/>
          <w:color w:val="auto"/>
          <w:sz w:val="32"/>
          <w:szCs w:val="32"/>
          <w:highlight w:val="none"/>
          <w:lang w:val="en-US" w:eastAsia="zh-CN"/>
        </w:rPr>
        <w:t>2022年，</w:t>
      </w:r>
      <w:r>
        <w:rPr>
          <w:rFonts w:ascii="仿宋_GB2312" w:hAnsi="宋体" w:eastAsia="仿宋_GB2312" w:cs="宋体"/>
          <w:color w:val="auto"/>
          <w:kern w:val="0"/>
          <w:sz w:val="32"/>
          <w:szCs w:val="32"/>
          <w:highlight w:val="none"/>
        </w:rPr>
        <w:t>国家统计局将重点做好以下几方面工作：</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全面客观反映经济社会发展态势，不断完善数据发布解读。</w:t>
      </w:r>
      <w:r>
        <w:rPr>
          <w:rFonts w:hint="eastAsia" w:ascii="仿宋_GB2312" w:hAnsi="仿宋_GB2312" w:eastAsia="仿宋_GB2312" w:cs="仿宋_GB2312"/>
          <w:color w:val="auto"/>
          <w:sz w:val="32"/>
          <w:szCs w:val="32"/>
          <w:highlight w:val="none"/>
        </w:rPr>
        <w:t>围绕社会关切</w:t>
      </w:r>
      <w:r>
        <w:rPr>
          <w:rFonts w:hint="eastAsia" w:ascii="仿宋_GB2312" w:hAnsi="仿宋_GB2312" w:eastAsia="仿宋_GB2312" w:cs="仿宋_GB2312"/>
          <w:color w:val="auto"/>
          <w:sz w:val="32"/>
          <w:szCs w:val="32"/>
          <w:highlight w:val="none"/>
          <w:lang w:eastAsia="zh-CN"/>
        </w:rPr>
        <w:t>和统计现代化改革发展</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积极</w:t>
      </w:r>
      <w:r>
        <w:rPr>
          <w:rFonts w:hint="eastAsia" w:ascii="仿宋_GB2312" w:hAnsi="仿宋_GB2312" w:eastAsia="仿宋_GB2312" w:cs="仿宋_GB2312"/>
          <w:color w:val="auto"/>
          <w:sz w:val="32"/>
          <w:szCs w:val="32"/>
          <w:highlight w:val="none"/>
        </w:rPr>
        <w:t>拓展发布内容。</w:t>
      </w:r>
      <w:r>
        <w:rPr>
          <w:rStyle w:val="18"/>
          <w:rFonts w:hint="eastAsia" w:ascii="仿宋_GB2312" w:eastAsia="仿宋_GB2312"/>
          <w:color w:val="auto"/>
          <w:szCs w:val="32"/>
          <w:highlight w:val="none"/>
          <w:lang w:eastAsia="zh-CN"/>
        </w:rPr>
        <w:t>持续跟踪经济社会热点，加强数据解读，不断提升统计分析解读的针对性、亲民性。持续做好统计科普宣传，运用多平台多形式及时解疑释惑</w:t>
      </w:r>
      <w:r>
        <w:rPr>
          <w:rFonts w:hint="eastAsia" w:ascii="仿宋_GB2312" w:hAnsi="仿宋_GB2312" w:eastAsia="仿宋_GB2312" w:cs="仿宋_GB2312"/>
          <w:color w:val="auto"/>
          <w:sz w:val="32"/>
          <w:szCs w:val="32"/>
          <w:highlight w:val="none"/>
        </w:rPr>
        <w:t>。</w:t>
      </w:r>
    </w:p>
    <w:p>
      <w:pPr>
        <w:pStyle w:val="10"/>
        <w:keepNext w:val="0"/>
        <w:keepLines w:val="0"/>
        <w:pageBreakBefore w:val="0"/>
        <w:widowControl w:val="0"/>
        <w:numPr>
          <w:ilvl w:val="0"/>
          <w:numId w:val="0"/>
        </w:numPr>
        <w:suppressLineNumbers w:val="0"/>
        <w:shd w:val="clear" w:color="auto" w:fill="FFFFFF"/>
        <w:kinsoku/>
        <w:wordWrap/>
        <w:overflowPunct/>
        <w:topLinePunct w:val="0"/>
        <w:autoSpaceDE/>
        <w:autoSpaceDN/>
        <w:bidi w:val="0"/>
        <w:spacing w:before="0" w:beforeAutospacing="0" w:after="0" w:afterAutospacing="0" w:line="600" w:lineRule="exact"/>
        <w:ind w:right="0" w:rightChars="0" w:firstLine="640" w:firstLineChars="200"/>
        <w:jc w:val="both"/>
        <w:textAlignment w:val="auto"/>
        <w:rPr>
          <w:rFonts w:hint="eastAsia" w:ascii="仿宋_GB2312" w:hAnsi="Calibri" w:eastAsia="仿宋_GB2312" w:cs="Times New Roman"/>
          <w:b w:val="0"/>
          <w:color w:val="auto"/>
          <w:kern w:val="2"/>
          <w:sz w:val="32"/>
          <w:szCs w:val="32"/>
          <w:highlight w:val="none"/>
          <w:lang w:val="en-US" w:eastAsia="zh-CN" w:bidi="ar-SA"/>
        </w:rPr>
      </w:pPr>
      <w:r>
        <w:rPr>
          <w:rFonts w:hint="eastAsia" w:ascii="楷体_GB2312" w:hAnsi="楷体_GB2312" w:eastAsia="楷体_GB2312" w:cs="楷体_GB2312"/>
          <w:color w:val="auto"/>
          <w:sz w:val="32"/>
          <w:szCs w:val="32"/>
          <w:highlight w:val="none"/>
          <w:lang w:val="en-US" w:eastAsia="zh-CN"/>
        </w:rPr>
        <w:t>（二）围绕党和国家大事要事以及统计改革任务，聚焦重点做好宣传。</w:t>
      </w:r>
      <w:r>
        <w:rPr>
          <w:rFonts w:hint="eastAsia" w:ascii="仿宋_GB2312" w:hAnsi="Calibri" w:eastAsia="仿宋_GB2312" w:cs="Times New Roman"/>
          <w:b w:val="0"/>
          <w:color w:val="auto"/>
          <w:kern w:val="2"/>
          <w:sz w:val="32"/>
          <w:szCs w:val="32"/>
          <w:highlight w:val="none"/>
          <w:lang w:val="en-US" w:eastAsia="zh-CN" w:bidi="ar-SA"/>
        </w:rPr>
        <w:t>做好迎接党的二十大主题宣传，发挥统计优势特色，积极挖掘数据资源，充分展现中国共产党领导下我国经济社会发展取得的重大成就。开启第五次全国经济普查宣传工作。</w:t>
      </w:r>
      <w:r>
        <w:rPr>
          <w:rFonts w:hint="eastAsia" w:ascii="仿宋_GB2312" w:hAnsi="仿宋_GB2312" w:eastAsia="仿宋_GB2312" w:cs="仿宋_GB2312"/>
          <w:b w:val="0"/>
          <w:bCs w:val="0"/>
          <w:color w:val="auto"/>
          <w:sz w:val="32"/>
          <w:szCs w:val="32"/>
          <w:highlight w:val="none"/>
        </w:rPr>
        <w:t>继续做好统计督察和执法检查信息公开。</w:t>
      </w:r>
      <w:r>
        <w:rPr>
          <w:rFonts w:hint="eastAsia" w:ascii="仿宋_GB2312" w:hAnsi="Calibri" w:eastAsia="仿宋_GB2312" w:cs="Times New Roman"/>
          <w:b w:val="0"/>
          <w:color w:val="auto"/>
          <w:kern w:val="2"/>
          <w:sz w:val="32"/>
          <w:szCs w:val="32"/>
          <w:highlight w:val="none"/>
          <w:lang w:val="en-US" w:eastAsia="zh-CN" w:bidi="ar-SA"/>
        </w:rPr>
        <w:t>办好</w:t>
      </w:r>
      <w:r>
        <w:rPr>
          <w:rFonts w:hint="eastAsia" w:ascii="仿宋_GB2312" w:hAnsi="黑体" w:eastAsia="仿宋_GB2312" w:cs="宋体"/>
          <w:color w:val="auto"/>
          <w:sz w:val="32"/>
          <w:szCs w:val="32"/>
          <w:highlight w:val="none"/>
        </w:rPr>
        <w:t>第十</w:t>
      </w:r>
      <w:r>
        <w:rPr>
          <w:rFonts w:hint="eastAsia" w:ascii="仿宋_GB2312" w:hAnsi="黑体" w:eastAsia="仿宋_GB2312" w:cs="宋体"/>
          <w:color w:val="auto"/>
          <w:sz w:val="32"/>
          <w:szCs w:val="32"/>
          <w:highlight w:val="none"/>
          <w:lang w:val="en-US" w:eastAsia="zh-CN"/>
        </w:rPr>
        <w:t>三</w:t>
      </w:r>
      <w:r>
        <w:rPr>
          <w:rFonts w:hint="eastAsia" w:ascii="仿宋_GB2312" w:hAnsi="黑体" w:eastAsia="仿宋_GB2312" w:cs="宋体"/>
          <w:color w:val="auto"/>
          <w:sz w:val="32"/>
          <w:szCs w:val="32"/>
          <w:highlight w:val="none"/>
        </w:rPr>
        <w:t>届中国统计开放日</w:t>
      </w:r>
      <w:r>
        <w:rPr>
          <w:rFonts w:hint="eastAsia" w:ascii="仿宋_GB2312" w:hAnsi="黑体" w:eastAsia="仿宋_GB2312" w:cs="宋体"/>
          <w:color w:val="auto"/>
          <w:sz w:val="32"/>
          <w:szCs w:val="32"/>
          <w:highlight w:val="none"/>
          <w:lang w:eastAsia="zh-CN"/>
        </w:rPr>
        <w:t>活动</w:t>
      </w:r>
      <w:r>
        <w:rPr>
          <w:rFonts w:hint="eastAsia" w:ascii="仿宋_GB2312" w:hAnsi="黑体" w:eastAsia="仿宋_GB2312" w:cs="宋体"/>
          <w:color w:val="auto"/>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黑体" w:eastAsia="仿宋_GB2312" w:cs="宋体"/>
          <w:b w:val="0"/>
          <w:bCs/>
          <w:color w:val="auto"/>
          <w:sz w:val="32"/>
          <w:szCs w:val="32"/>
          <w:highlight w:val="none"/>
          <w:lang w:val="en" w:eastAsia="zh-CN"/>
        </w:rPr>
      </w:pPr>
      <w:r>
        <w:rPr>
          <w:rFonts w:hint="eastAsia" w:ascii="楷体_GB2312" w:hAnsi="楷体_GB2312" w:eastAsia="楷体_GB2312" w:cs="楷体_GB2312"/>
          <w:color w:val="auto"/>
          <w:kern w:val="0"/>
          <w:sz w:val="32"/>
          <w:szCs w:val="32"/>
          <w:highlight w:val="none"/>
          <w:lang w:val="en-US" w:eastAsia="zh-CN" w:bidi="ar"/>
        </w:rPr>
        <w:t>（三）推动各类平台建设，促进统计服务提质增效。</w:t>
      </w:r>
      <w:r>
        <w:rPr>
          <w:rFonts w:hint="eastAsia" w:ascii="仿宋_GB2312" w:hAnsi="仿宋_GB2312" w:eastAsia="仿宋_GB2312" w:cs="仿宋_GB2312"/>
          <w:b w:val="0"/>
          <w:bCs/>
          <w:color w:val="auto"/>
          <w:sz w:val="32"/>
          <w:szCs w:val="32"/>
          <w:highlight w:val="none"/>
          <w:lang w:eastAsia="zh-CN"/>
        </w:rPr>
        <w:t>进一步加强门户网站建设，发挥好政府信息公开主渠道作用</w:t>
      </w:r>
      <w:r>
        <w:rPr>
          <w:rFonts w:hint="eastAsia" w:ascii="仿宋_GB2312" w:hAnsi="仿宋_GB2312" w:eastAsia="仿宋_GB2312" w:cs="仿宋_GB2312"/>
          <w:b w:val="0"/>
          <w:bCs/>
          <w:color w:val="auto"/>
          <w:sz w:val="32"/>
          <w:szCs w:val="32"/>
          <w:highlight w:val="none"/>
        </w:rPr>
        <w:t>。</w:t>
      </w:r>
      <w:r>
        <w:rPr>
          <w:rFonts w:hint="eastAsia" w:ascii="仿宋_GB2312" w:hAnsi="黑体" w:eastAsia="仿宋_GB2312" w:cs="宋体"/>
          <w:b w:val="0"/>
          <w:bCs/>
          <w:color w:val="auto"/>
          <w:sz w:val="32"/>
          <w:szCs w:val="32"/>
          <w:highlight w:val="none"/>
          <w:lang w:val="en-US" w:eastAsia="zh-CN"/>
        </w:rPr>
        <w:t>进一步</w:t>
      </w:r>
      <w:r>
        <w:rPr>
          <w:rFonts w:hint="eastAsia" w:ascii="仿宋_GB2312" w:hAnsi="黑体" w:eastAsia="仿宋_GB2312" w:cs="宋体"/>
          <w:b w:val="0"/>
          <w:bCs/>
          <w:color w:val="auto"/>
          <w:sz w:val="32"/>
          <w:szCs w:val="32"/>
          <w:highlight w:val="none"/>
          <w:lang w:val="en" w:eastAsia="zh-CN"/>
        </w:rPr>
        <w:t>推进数据发布库和微观数据开发应用，增加发布和开放指标数据，为社会各界提供更加丰富的统计数据服务。</w:t>
      </w:r>
      <w:r>
        <w:rPr>
          <w:rFonts w:hint="eastAsia" w:ascii="仿宋_GB2312" w:hAnsi="黑体" w:eastAsia="仿宋_GB2312" w:cs="宋体"/>
          <w:b w:val="0"/>
          <w:bCs/>
          <w:color w:val="auto"/>
          <w:sz w:val="32"/>
          <w:szCs w:val="32"/>
          <w:highlight w:val="none"/>
          <w:lang w:val="en-US" w:eastAsia="zh-CN"/>
        </w:rPr>
        <w:t>进一步优化统计新媒体平台，创新宣传视角、呈现形式、传播方式，</w:t>
      </w:r>
      <w:r>
        <w:rPr>
          <w:rFonts w:hint="eastAsia" w:ascii="仿宋_GB2312" w:hAnsi="黑体" w:eastAsia="仿宋_GB2312" w:cs="宋体"/>
          <w:b w:val="0"/>
          <w:bCs/>
          <w:color w:val="auto"/>
          <w:sz w:val="32"/>
          <w:szCs w:val="32"/>
          <w:highlight w:val="none"/>
          <w:lang w:eastAsia="zh-CN"/>
        </w:rPr>
        <w:t>积极开发有温度、高品质的</w:t>
      </w:r>
      <w:r>
        <w:rPr>
          <w:rFonts w:hint="eastAsia" w:ascii="仿宋_GB2312" w:hAnsi="黑体" w:eastAsia="仿宋_GB2312" w:cs="宋体"/>
          <w:b w:val="0"/>
          <w:bCs/>
          <w:color w:val="auto"/>
          <w:sz w:val="32"/>
          <w:szCs w:val="32"/>
          <w:highlight w:val="none"/>
          <w:lang w:val="en-US" w:eastAsia="zh-CN"/>
        </w:rPr>
        <w:t>统计宣传产品。</w:t>
      </w:r>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楷体_GB2312" w:hAnsi="楷体_GB2312" w:eastAsia="楷体_GB2312" w:cs="楷体_GB2312"/>
          <w:bCs/>
          <w:color w:val="auto"/>
          <w:sz w:val="32"/>
          <w:highlight w:val="none"/>
          <w:lang w:val="en-US" w:eastAsia="zh-CN"/>
        </w:rPr>
        <w:t>（四）</w:t>
      </w:r>
      <w:r>
        <w:rPr>
          <w:rFonts w:hint="eastAsia" w:ascii="楷体_GB2312" w:hAnsi="楷体_GB2312" w:eastAsia="楷体_GB2312" w:cs="楷体_GB2312"/>
          <w:bCs/>
          <w:color w:val="auto"/>
          <w:sz w:val="32"/>
          <w:highlight w:val="none"/>
          <w:lang w:eastAsia="zh-CN"/>
        </w:rPr>
        <w:t>强化队伍能力建设，确保统计公开规范有序。</w:t>
      </w:r>
      <w:r>
        <w:rPr>
          <w:rFonts w:hint="eastAsia" w:ascii="仿宋_GB2312" w:hAnsi="仿宋_GB2312" w:eastAsia="仿宋_GB2312" w:cs="仿宋_GB2312"/>
          <w:color w:val="auto"/>
          <w:sz w:val="32"/>
          <w:szCs w:val="32"/>
          <w:highlight w:val="none"/>
          <w:lang w:eastAsia="zh-CN"/>
        </w:rPr>
        <w:t>适时举办政府信息与政务公开工作培训班，强化政策解读，明确工作要求，提高公开质效。督促落实《统计领域基层政务公开标准指引》，加强对基层统计信息公开工作的调研指导。进一步规范依申请公开工作，提高答复质量。</w:t>
      </w:r>
    </w:p>
    <w:p>
      <w:pPr>
        <w:keepNext w:val="0"/>
        <w:keepLines w:val="0"/>
        <w:pageBreakBefore w:val="0"/>
        <w:widowControl w:val="0"/>
        <w:shd w:val="clear" w:color="auto" w:fill="FFFFFF"/>
        <w:kinsoku/>
        <w:wordWrap/>
        <w:overflowPunct/>
        <w:topLinePunct w:val="0"/>
        <w:autoSpaceDE/>
        <w:autoSpaceDN/>
        <w:bidi w:val="0"/>
        <w:spacing w:line="600" w:lineRule="exact"/>
        <w:ind w:firstLine="640" w:firstLineChars="200"/>
        <w:textAlignment w:val="auto"/>
        <w:outlineLvl w:val="0"/>
        <w:rPr>
          <w:rFonts w:hint="eastAsia" w:ascii="黑体" w:hAnsi="黑体" w:eastAsia="黑体" w:cs="宋体"/>
          <w:bCs/>
          <w:color w:val="auto"/>
          <w:kern w:val="0"/>
          <w:sz w:val="32"/>
          <w:szCs w:val="32"/>
          <w:highlight w:val="none"/>
          <w:lang w:eastAsia="zh-CN"/>
        </w:rPr>
      </w:pPr>
      <w:r>
        <w:rPr>
          <w:rFonts w:hint="eastAsia" w:ascii="黑体" w:hAnsi="黑体" w:eastAsia="黑体" w:cs="宋体"/>
          <w:bCs/>
          <w:color w:val="auto"/>
          <w:kern w:val="0"/>
          <w:sz w:val="32"/>
          <w:szCs w:val="32"/>
          <w:highlight w:val="none"/>
          <w:lang w:eastAsia="zh-CN"/>
        </w:rPr>
        <w:t>六</w:t>
      </w:r>
      <w:r>
        <w:rPr>
          <w:rFonts w:hint="eastAsia" w:ascii="黑体" w:hAnsi="黑体" w:eastAsia="黑体" w:cs="宋体"/>
          <w:bCs/>
          <w:color w:val="auto"/>
          <w:kern w:val="0"/>
          <w:sz w:val="32"/>
          <w:szCs w:val="32"/>
          <w:highlight w:val="none"/>
        </w:rPr>
        <w:t>、</w:t>
      </w:r>
      <w:r>
        <w:rPr>
          <w:rFonts w:hint="eastAsia" w:ascii="黑体" w:hAnsi="黑体" w:eastAsia="黑体" w:cs="宋体"/>
          <w:bCs/>
          <w:color w:val="auto"/>
          <w:kern w:val="0"/>
          <w:sz w:val="32"/>
          <w:szCs w:val="32"/>
          <w:highlight w:val="none"/>
          <w:lang w:eastAsia="zh-CN"/>
        </w:rPr>
        <w:t>其他需要报告的事项</w:t>
      </w:r>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无。</w:t>
      </w:r>
    </w:p>
    <w:sectPr>
      <w:footerReference r:id="rId3" w:type="default"/>
      <w:pgSz w:w="11906" w:h="16838"/>
      <w:pgMar w:top="1871" w:right="1587" w:bottom="1417" w:left="1587" w:header="851" w:footer="1191" w:gutter="0"/>
      <w:pgBorders w:offsetFrom="page">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altName w:val="楷体"/>
    <w:panose1 w:val="02010609030101010101"/>
    <w:charset w:val="00"/>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val="0"/>
      <w:jc w:val="center"/>
      <w:textAlignment w:val="auto"/>
      <w:rPr>
        <w:rFonts w:ascii="宋体" w:hAnsi="宋体"/>
        <w:sz w:val="28"/>
      </w:rPr>
    </w:pPr>
    <w:r>
      <w:rPr>
        <w:rFonts w:ascii="宋体" w:hAnsi="宋体"/>
        <w:sz w:val="28"/>
      </w:rPr>
      <w:t xml:space="preserve">— </w:t>
    </w:r>
    <w:r>
      <w:rPr>
        <w:rFonts w:ascii="宋体" w:hAnsi="宋体"/>
        <w:sz w:val="28"/>
      </w:rPr>
      <w:fldChar w:fldCharType="begin"/>
    </w:r>
    <w:r>
      <w:rPr>
        <w:rFonts w:ascii="宋体" w:hAnsi="宋体"/>
        <w:sz w:val="28"/>
      </w:rPr>
      <w:instrText xml:space="preserve"> Page \* mergeformat \* MERGEFORMAT </w:instrText>
    </w:r>
    <w:r>
      <w:rPr>
        <w:rFonts w:ascii="宋体" w:hAnsi="宋体"/>
        <w:sz w:val="28"/>
      </w:rPr>
      <w:fldChar w:fldCharType="separate"/>
    </w:r>
    <w:r>
      <w:rPr>
        <w:rFonts w:ascii="宋体" w:hAnsi="宋体"/>
        <w:sz w:val="28"/>
      </w:rPr>
      <w:t>1</w:t>
    </w:r>
    <w:r>
      <w:rPr>
        <w:rFonts w:ascii="宋体" w:hAnsi="宋体"/>
        <w:sz w:val="28"/>
      </w:rPr>
      <w:fldChar w:fldCharType="end"/>
    </w:r>
    <w:r>
      <w:rPr>
        <w:rFonts w:ascii="宋体" w:hAnsi="宋体"/>
        <w:sz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222"/>
  <w:displayBackgroundShape w:val="true"/>
  <w:bordersDoNotSurroundHeader w:val="false"/>
  <w:bordersDoNotSurroundFooter w:val="false"/>
  <w:documentProtection w:enforcement="0"/>
  <w:defaultTabStop w:val="420"/>
  <w:hyphenationZone w:val="36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7444"/>
    <w:rsid w:val="0006419E"/>
    <w:rsid w:val="00066018"/>
    <w:rsid w:val="00095233"/>
    <w:rsid w:val="00097A19"/>
    <w:rsid w:val="00152C43"/>
    <w:rsid w:val="001572B8"/>
    <w:rsid w:val="00172A27"/>
    <w:rsid w:val="001D20C4"/>
    <w:rsid w:val="00274CE1"/>
    <w:rsid w:val="0028451E"/>
    <w:rsid w:val="002878B5"/>
    <w:rsid w:val="00310AA6"/>
    <w:rsid w:val="00365DA2"/>
    <w:rsid w:val="00476407"/>
    <w:rsid w:val="004D4336"/>
    <w:rsid w:val="004D5EA4"/>
    <w:rsid w:val="0051176E"/>
    <w:rsid w:val="00573C14"/>
    <w:rsid w:val="006364B0"/>
    <w:rsid w:val="006F267D"/>
    <w:rsid w:val="007779F7"/>
    <w:rsid w:val="008028D4"/>
    <w:rsid w:val="008160B6"/>
    <w:rsid w:val="00825F05"/>
    <w:rsid w:val="008260F2"/>
    <w:rsid w:val="00852275"/>
    <w:rsid w:val="008637CE"/>
    <w:rsid w:val="008910D0"/>
    <w:rsid w:val="00911764"/>
    <w:rsid w:val="00922B5F"/>
    <w:rsid w:val="00927AD1"/>
    <w:rsid w:val="00933824"/>
    <w:rsid w:val="00960694"/>
    <w:rsid w:val="00A61750"/>
    <w:rsid w:val="00A75D70"/>
    <w:rsid w:val="00AB4D40"/>
    <w:rsid w:val="00AD3D0F"/>
    <w:rsid w:val="00AE66D4"/>
    <w:rsid w:val="00B07DAB"/>
    <w:rsid w:val="00B3096E"/>
    <w:rsid w:val="00B5776B"/>
    <w:rsid w:val="00B800E5"/>
    <w:rsid w:val="00BA310A"/>
    <w:rsid w:val="00BC070D"/>
    <w:rsid w:val="00BF249A"/>
    <w:rsid w:val="00BF4B39"/>
    <w:rsid w:val="00C44F65"/>
    <w:rsid w:val="00C91DA1"/>
    <w:rsid w:val="00CA4CC7"/>
    <w:rsid w:val="00CC731A"/>
    <w:rsid w:val="00CE25F7"/>
    <w:rsid w:val="00D80305"/>
    <w:rsid w:val="00DC2F94"/>
    <w:rsid w:val="00DF01D3"/>
    <w:rsid w:val="00E15F76"/>
    <w:rsid w:val="00E177DA"/>
    <w:rsid w:val="00E84C94"/>
    <w:rsid w:val="00EB0C00"/>
    <w:rsid w:val="07FE6036"/>
    <w:rsid w:val="0F1964B5"/>
    <w:rsid w:val="0FFFF107"/>
    <w:rsid w:val="1BDD19E0"/>
    <w:rsid w:val="1DDCB3E8"/>
    <w:rsid w:val="1DFD7A16"/>
    <w:rsid w:val="1DFFDC2D"/>
    <w:rsid w:val="1EBF8B8E"/>
    <w:rsid w:val="1EFF553E"/>
    <w:rsid w:val="1FEF917F"/>
    <w:rsid w:val="1FFF6C64"/>
    <w:rsid w:val="277FBADF"/>
    <w:rsid w:val="2951A9AA"/>
    <w:rsid w:val="2B777325"/>
    <w:rsid w:val="2F7BC539"/>
    <w:rsid w:val="31FB3AEF"/>
    <w:rsid w:val="32542AD2"/>
    <w:rsid w:val="329F37BC"/>
    <w:rsid w:val="36FB7D96"/>
    <w:rsid w:val="373F8F9A"/>
    <w:rsid w:val="37FB7010"/>
    <w:rsid w:val="37FFE2F0"/>
    <w:rsid w:val="3B7DE941"/>
    <w:rsid w:val="3BFF7AB3"/>
    <w:rsid w:val="3BFFB42F"/>
    <w:rsid w:val="3EBFD053"/>
    <w:rsid w:val="3EF2FF55"/>
    <w:rsid w:val="3F1793AE"/>
    <w:rsid w:val="3FB36052"/>
    <w:rsid w:val="3FDF75EF"/>
    <w:rsid w:val="3FE77BBF"/>
    <w:rsid w:val="3FF7DE2F"/>
    <w:rsid w:val="3FFA1231"/>
    <w:rsid w:val="477F440F"/>
    <w:rsid w:val="49886777"/>
    <w:rsid w:val="4CAB3BD1"/>
    <w:rsid w:val="4CF62C5F"/>
    <w:rsid w:val="4EEE3E9B"/>
    <w:rsid w:val="4EFEC362"/>
    <w:rsid w:val="4F9A6D7D"/>
    <w:rsid w:val="53C78702"/>
    <w:rsid w:val="57BF1CF7"/>
    <w:rsid w:val="57ED6552"/>
    <w:rsid w:val="57FB56C2"/>
    <w:rsid w:val="57FF7888"/>
    <w:rsid w:val="59537F74"/>
    <w:rsid w:val="59BF287C"/>
    <w:rsid w:val="5AF38B00"/>
    <w:rsid w:val="5B9E34B8"/>
    <w:rsid w:val="5BAF0103"/>
    <w:rsid w:val="5DB938AC"/>
    <w:rsid w:val="5DFBFCC1"/>
    <w:rsid w:val="5E7FD605"/>
    <w:rsid w:val="5F7F1215"/>
    <w:rsid w:val="5FDF5C50"/>
    <w:rsid w:val="5FFB24C1"/>
    <w:rsid w:val="5FFF1579"/>
    <w:rsid w:val="5FFF3887"/>
    <w:rsid w:val="634D0D77"/>
    <w:rsid w:val="662FC21A"/>
    <w:rsid w:val="6735648A"/>
    <w:rsid w:val="677EEEDD"/>
    <w:rsid w:val="677F936F"/>
    <w:rsid w:val="67DFD369"/>
    <w:rsid w:val="67F34107"/>
    <w:rsid w:val="67FB8485"/>
    <w:rsid w:val="67FF717D"/>
    <w:rsid w:val="69ABE4D9"/>
    <w:rsid w:val="69F6E9CE"/>
    <w:rsid w:val="6AC31930"/>
    <w:rsid w:val="6BB96D4B"/>
    <w:rsid w:val="6BEA1A54"/>
    <w:rsid w:val="6BFC04C8"/>
    <w:rsid w:val="6BFD3C69"/>
    <w:rsid w:val="6CFE4B6F"/>
    <w:rsid w:val="6DAF5CF9"/>
    <w:rsid w:val="6DF5BA51"/>
    <w:rsid w:val="6EEABA5D"/>
    <w:rsid w:val="6EFD00F9"/>
    <w:rsid w:val="6F1DC42D"/>
    <w:rsid w:val="6F7D4CA3"/>
    <w:rsid w:val="6FE904E8"/>
    <w:rsid w:val="6FF1B1AE"/>
    <w:rsid w:val="6FFAA82F"/>
    <w:rsid w:val="6FFDBEA5"/>
    <w:rsid w:val="6FFECC58"/>
    <w:rsid w:val="6FFF4098"/>
    <w:rsid w:val="705FD309"/>
    <w:rsid w:val="737FEE79"/>
    <w:rsid w:val="73BF37B0"/>
    <w:rsid w:val="73EBA502"/>
    <w:rsid w:val="753FA2D4"/>
    <w:rsid w:val="75CFBBEF"/>
    <w:rsid w:val="75D37A97"/>
    <w:rsid w:val="75FF6FF9"/>
    <w:rsid w:val="76DFD6C5"/>
    <w:rsid w:val="76F76B1E"/>
    <w:rsid w:val="77FB04DB"/>
    <w:rsid w:val="77FD8855"/>
    <w:rsid w:val="77FF76E4"/>
    <w:rsid w:val="786FCBB1"/>
    <w:rsid w:val="799FE854"/>
    <w:rsid w:val="79FF1650"/>
    <w:rsid w:val="7AF7D715"/>
    <w:rsid w:val="7AFFB1BD"/>
    <w:rsid w:val="7B447944"/>
    <w:rsid w:val="7B7FE342"/>
    <w:rsid w:val="7BD765F5"/>
    <w:rsid w:val="7BE747A4"/>
    <w:rsid w:val="7BF769D4"/>
    <w:rsid w:val="7C379793"/>
    <w:rsid w:val="7C3FB285"/>
    <w:rsid w:val="7CB79CF9"/>
    <w:rsid w:val="7CBF05ED"/>
    <w:rsid w:val="7CD90C15"/>
    <w:rsid w:val="7CDD78E2"/>
    <w:rsid w:val="7CFAA19D"/>
    <w:rsid w:val="7CFDFEBC"/>
    <w:rsid w:val="7D5E5330"/>
    <w:rsid w:val="7D7A0D6D"/>
    <w:rsid w:val="7D8FA579"/>
    <w:rsid w:val="7DA1B10C"/>
    <w:rsid w:val="7DAE1F06"/>
    <w:rsid w:val="7DCD4568"/>
    <w:rsid w:val="7DDBABC3"/>
    <w:rsid w:val="7DDF1EF4"/>
    <w:rsid w:val="7DEAC137"/>
    <w:rsid w:val="7DF7F96F"/>
    <w:rsid w:val="7DFF9617"/>
    <w:rsid w:val="7E2F16B5"/>
    <w:rsid w:val="7E6FAC08"/>
    <w:rsid w:val="7E9D48E8"/>
    <w:rsid w:val="7E9F1EEE"/>
    <w:rsid w:val="7EBFC848"/>
    <w:rsid w:val="7ECB4A6E"/>
    <w:rsid w:val="7F1F603D"/>
    <w:rsid w:val="7F3FD325"/>
    <w:rsid w:val="7F45C5EF"/>
    <w:rsid w:val="7F56D487"/>
    <w:rsid w:val="7F760857"/>
    <w:rsid w:val="7F7BF4BD"/>
    <w:rsid w:val="7F7E2774"/>
    <w:rsid w:val="7F7F24AB"/>
    <w:rsid w:val="7F7F3E6D"/>
    <w:rsid w:val="7FB7B852"/>
    <w:rsid w:val="7FBDAA43"/>
    <w:rsid w:val="7FBF4C81"/>
    <w:rsid w:val="7FBF9E1A"/>
    <w:rsid w:val="7FD759A9"/>
    <w:rsid w:val="7FDD4ABB"/>
    <w:rsid w:val="7FEC8AD6"/>
    <w:rsid w:val="7FEE98E4"/>
    <w:rsid w:val="7FEF718D"/>
    <w:rsid w:val="7FF63C80"/>
    <w:rsid w:val="7FF7032A"/>
    <w:rsid w:val="7FF738A6"/>
    <w:rsid w:val="7FF9C941"/>
    <w:rsid w:val="7FFA48AE"/>
    <w:rsid w:val="7FFB9A3D"/>
    <w:rsid w:val="7FFD092D"/>
    <w:rsid w:val="7FFD5C3A"/>
    <w:rsid w:val="7FFF513B"/>
    <w:rsid w:val="7FFF5F9A"/>
    <w:rsid w:val="7FFFF0E2"/>
    <w:rsid w:val="8FDFD97D"/>
    <w:rsid w:val="90AE9A31"/>
    <w:rsid w:val="97FEC47F"/>
    <w:rsid w:val="9EDB66C8"/>
    <w:rsid w:val="9F1EFE26"/>
    <w:rsid w:val="9F6F666C"/>
    <w:rsid w:val="9FEEB797"/>
    <w:rsid w:val="A75FF0F8"/>
    <w:rsid w:val="A7953F66"/>
    <w:rsid w:val="A7BDCA3D"/>
    <w:rsid w:val="ABD73BC8"/>
    <w:rsid w:val="ADDC62F5"/>
    <w:rsid w:val="ADFF1C72"/>
    <w:rsid w:val="AFCD2FB2"/>
    <w:rsid w:val="AFDF6036"/>
    <w:rsid w:val="AFF9AFC1"/>
    <w:rsid w:val="B64A0F73"/>
    <w:rsid w:val="B6FBDF0A"/>
    <w:rsid w:val="B7B72AF5"/>
    <w:rsid w:val="B7CF67DF"/>
    <w:rsid w:val="B7E79239"/>
    <w:rsid w:val="B7FEE882"/>
    <w:rsid w:val="B9BFE24D"/>
    <w:rsid w:val="BA7DE4D5"/>
    <w:rsid w:val="BACDD61F"/>
    <w:rsid w:val="BBBDDE79"/>
    <w:rsid w:val="BBEE0A07"/>
    <w:rsid w:val="BBFD48DF"/>
    <w:rsid w:val="BC7D9C9A"/>
    <w:rsid w:val="BCAE2929"/>
    <w:rsid w:val="BDFAAB97"/>
    <w:rsid w:val="BDFFBF18"/>
    <w:rsid w:val="BEBF2532"/>
    <w:rsid w:val="BEFE9264"/>
    <w:rsid w:val="BF5F4A75"/>
    <w:rsid w:val="BF746CA2"/>
    <w:rsid w:val="BF9F4C7D"/>
    <w:rsid w:val="BFBF0EB8"/>
    <w:rsid w:val="BFDF3B57"/>
    <w:rsid w:val="BFED8682"/>
    <w:rsid w:val="C87BE2B0"/>
    <w:rsid w:val="CEF41CE7"/>
    <w:rsid w:val="CF7327B9"/>
    <w:rsid w:val="CFFF070E"/>
    <w:rsid w:val="D1D34FE1"/>
    <w:rsid w:val="D77E65B0"/>
    <w:rsid w:val="D7D2D2CE"/>
    <w:rsid w:val="D7F31AB3"/>
    <w:rsid w:val="D8FFD026"/>
    <w:rsid w:val="D9FEC44C"/>
    <w:rsid w:val="DBFF4F04"/>
    <w:rsid w:val="DCFDC63A"/>
    <w:rsid w:val="DDEE7B55"/>
    <w:rsid w:val="DE9E6B22"/>
    <w:rsid w:val="DEEF210D"/>
    <w:rsid w:val="DF3B5C09"/>
    <w:rsid w:val="DF67988C"/>
    <w:rsid w:val="DF7725B9"/>
    <w:rsid w:val="DF7F26C7"/>
    <w:rsid w:val="DFB70FD1"/>
    <w:rsid w:val="DFB72EED"/>
    <w:rsid w:val="DFBBB034"/>
    <w:rsid w:val="DFBFD1BA"/>
    <w:rsid w:val="DFD7F527"/>
    <w:rsid w:val="DFE3612C"/>
    <w:rsid w:val="DFFFA852"/>
    <w:rsid w:val="E3D72F0D"/>
    <w:rsid w:val="E7DE0377"/>
    <w:rsid w:val="E7FDDC17"/>
    <w:rsid w:val="E7FF3D69"/>
    <w:rsid w:val="E7FFE8E3"/>
    <w:rsid w:val="EAFED147"/>
    <w:rsid w:val="EAFF9DE7"/>
    <w:rsid w:val="ECEBCCAB"/>
    <w:rsid w:val="ECFE3B6F"/>
    <w:rsid w:val="EDBD7A68"/>
    <w:rsid w:val="EDFE08C7"/>
    <w:rsid w:val="EE051B4F"/>
    <w:rsid w:val="EEAE624F"/>
    <w:rsid w:val="EEFCC23D"/>
    <w:rsid w:val="EEFF76FF"/>
    <w:rsid w:val="EF6FF0F1"/>
    <w:rsid w:val="EFCFB952"/>
    <w:rsid w:val="EFDFC157"/>
    <w:rsid w:val="EFE111C6"/>
    <w:rsid w:val="EFF63016"/>
    <w:rsid w:val="EFF78151"/>
    <w:rsid w:val="F05B2FFB"/>
    <w:rsid w:val="F157D39A"/>
    <w:rsid w:val="F36B7421"/>
    <w:rsid w:val="F3E9FDB9"/>
    <w:rsid w:val="F3FEE3AE"/>
    <w:rsid w:val="F56F2828"/>
    <w:rsid w:val="F5DFF124"/>
    <w:rsid w:val="F5FBFE92"/>
    <w:rsid w:val="F66FF6D0"/>
    <w:rsid w:val="F6EF9652"/>
    <w:rsid w:val="F6F747E2"/>
    <w:rsid w:val="F79FFED5"/>
    <w:rsid w:val="F7A50E43"/>
    <w:rsid w:val="F7BB06F2"/>
    <w:rsid w:val="F7BDF890"/>
    <w:rsid w:val="F7DF2903"/>
    <w:rsid w:val="F7F1BAF3"/>
    <w:rsid w:val="F7F69DCD"/>
    <w:rsid w:val="F7FF1D0D"/>
    <w:rsid w:val="F7FF5D21"/>
    <w:rsid w:val="F9A6225A"/>
    <w:rsid w:val="FAD8DB0D"/>
    <w:rsid w:val="FADE0A02"/>
    <w:rsid w:val="FB77C907"/>
    <w:rsid w:val="FB7F65E9"/>
    <w:rsid w:val="FB979A3A"/>
    <w:rsid w:val="FBB77FD0"/>
    <w:rsid w:val="FBEEC320"/>
    <w:rsid w:val="FC76C11C"/>
    <w:rsid w:val="FD3C2C6E"/>
    <w:rsid w:val="FD7FD3E0"/>
    <w:rsid w:val="FD7FE083"/>
    <w:rsid w:val="FDA3BD1E"/>
    <w:rsid w:val="FDFE841E"/>
    <w:rsid w:val="FDFFB9BA"/>
    <w:rsid w:val="FE6DA6B5"/>
    <w:rsid w:val="FE7757BC"/>
    <w:rsid w:val="FEB51197"/>
    <w:rsid w:val="FECFC8AB"/>
    <w:rsid w:val="FEF70987"/>
    <w:rsid w:val="FEF7DD46"/>
    <w:rsid w:val="FEFF292D"/>
    <w:rsid w:val="FF3D9902"/>
    <w:rsid w:val="FF9E64E2"/>
    <w:rsid w:val="FFBEA34E"/>
    <w:rsid w:val="FFBF9720"/>
    <w:rsid w:val="FFCD16AE"/>
    <w:rsid w:val="FFDFA893"/>
    <w:rsid w:val="FFE4E215"/>
    <w:rsid w:val="FFEB38CA"/>
    <w:rsid w:val="FFEDB9C3"/>
    <w:rsid w:val="FFFE00FE"/>
    <w:rsid w:val="FFFEF214"/>
    <w:rsid w:val="FFFF03B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spacing w:line="600" w:lineRule="exact"/>
      <w:ind w:firstLine="640" w:firstLineChars="200"/>
      <w:outlineLvl w:val="0"/>
    </w:pPr>
    <w:rPr>
      <w:rFonts w:ascii="黑体" w:hAnsi="黑体" w:eastAsia="黑体"/>
      <w:sz w:val="32"/>
      <w:szCs w:val="32"/>
    </w:rPr>
  </w:style>
  <w:style w:type="paragraph" w:styleId="3">
    <w:name w:val="heading 2"/>
    <w:basedOn w:val="1"/>
    <w:next w:val="1"/>
    <w:link w:val="19"/>
    <w:qFormat/>
    <w:uiPriority w:val="9"/>
    <w:pPr>
      <w:spacing w:line="600" w:lineRule="exact"/>
      <w:ind w:firstLine="640" w:firstLineChars="200"/>
      <w:outlineLvl w:val="1"/>
    </w:pPr>
    <w:rPr>
      <w:rFonts w:ascii="楷体_GB2312" w:hAnsi="Calibri" w:eastAsia="楷体_GB2312"/>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style>
  <w:style w:type="paragraph" w:styleId="6">
    <w:name w:val="annotation text"/>
    <w:basedOn w:val="1"/>
    <w:link w:val="20"/>
    <w:qFormat/>
    <w:uiPriority w:val="0"/>
    <w:pPr>
      <w:jc w:val="left"/>
    </w:pPr>
  </w:style>
  <w:style w:type="paragraph" w:styleId="7">
    <w:name w:val="Balloon Text"/>
    <w:basedOn w:val="1"/>
    <w:link w:val="21"/>
    <w:qFormat/>
    <w:uiPriority w:val="0"/>
    <w:rPr>
      <w:sz w:val="18"/>
      <w:szCs w:val="18"/>
    </w:rPr>
  </w:style>
  <w:style w:type="paragraph" w:styleId="8">
    <w:name w:val="footer"/>
    <w:basedOn w:val="1"/>
    <w:link w:val="22"/>
    <w:qFormat/>
    <w:uiPriority w:val="0"/>
    <w:pPr>
      <w:tabs>
        <w:tab w:val="center" w:pos="4153"/>
        <w:tab w:val="right" w:pos="8306"/>
      </w:tabs>
      <w:snapToGrid w:val="0"/>
      <w:jc w:val="left"/>
    </w:pPr>
    <w:rPr>
      <w:sz w:val="18"/>
      <w:szCs w:val="18"/>
    </w:rPr>
  </w:style>
  <w:style w:type="paragraph" w:styleId="9">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qFormat/>
    <w:uiPriority w:val="0"/>
    <w:pPr>
      <w:spacing w:before="100" w:beforeAutospacing="1" w:after="100" w:afterAutospacing="1"/>
      <w:jc w:val="left"/>
    </w:pPr>
    <w:rPr>
      <w:kern w:val="0"/>
      <w:sz w:val="24"/>
    </w:rPr>
  </w:style>
  <w:style w:type="paragraph" w:styleId="12">
    <w:name w:val="annotation subject"/>
    <w:basedOn w:val="6"/>
    <w:next w:val="6"/>
    <w:link w:val="24"/>
    <w:qFormat/>
    <w:uiPriority w:val="0"/>
    <w:rPr>
      <w:b/>
      <w:bCs/>
    </w:rPr>
  </w:style>
  <w:style w:type="character" w:styleId="15">
    <w:name w:val="Strong"/>
    <w:basedOn w:val="14"/>
    <w:qFormat/>
    <w:uiPriority w:val="0"/>
    <w:rPr>
      <w:b/>
    </w:rPr>
  </w:style>
  <w:style w:type="character" w:styleId="16">
    <w:name w:val="Hyperlink"/>
    <w:basedOn w:val="14"/>
    <w:qFormat/>
    <w:uiPriority w:val="0"/>
    <w:rPr>
      <w:color w:val="0000FF"/>
      <w:u w:val="single"/>
    </w:rPr>
  </w:style>
  <w:style w:type="character" w:styleId="17">
    <w:name w:val="annotation reference"/>
    <w:qFormat/>
    <w:uiPriority w:val="0"/>
    <w:rPr>
      <w:sz w:val="21"/>
      <w:szCs w:val="21"/>
    </w:rPr>
  </w:style>
  <w:style w:type="character" w:customStyle="1" w:styleId="18">
    <w:name w:val="标题 1 字符"/>
    <w:basedOn w:val="14"/>
    <w:link w:val="2"/>
    <w:qFormat/>
    <w:uiPriority w:val="0"/>
    <w:rPr>
      <w:rFonts w:ascii="黑体" w:hAnsi="黑体" w:eastAsia="黑体"/>
      <w:sz w:val="32"/>
      <w:szCs w:val="32"/>
    </w:rPr>
  </w:style>
  <w:style w:type="character" w:customStyle="1" w:styleId="19">
    <w:name w:val="标题 2 Char"/>
    <w:link w:val="3"/>
    <w:qFormat/>
    <w:uiPriority w:val="9"/>
    <w:rPr>
      <w:rFonts w:ascii="楷体_GB2312" w:hAnsi="Calibri" w:eastAsia="楷体_GB2312" w:cs="Times New Roman"/>
      <w:sz w:val="32"/>
      <w:szCs w:val="32"/>
    </w:rPr>
  </w:style>
  <w:style w:type="character" w:customStyle="1" w:styleId="20">
    <w:name w:val="批注文字 Char"/>
    <w:link w:val="6"/>
    <w:qFormat/>
    <w:uiPriority w:val="0"/>
    <w:rPr>
      <w:kern w:val="2"/>
      <w:sz w:val="21"/>
      <w:szCs w:val="24"/>
    </w:rPr>
  </w:style>
  <w:style w:type="character" w:customStyle="1" w:styleId="21">
    <w:name w:val="批注框文本 Char"/>
    <w:link w:val="7"/>
    <w:qFormat/>
    <w:uiPriority w:val="0"/>
    <w:rPr>
      <w:kern w:val="2"/>
      <w:sz w:val="18"/>
      <w:szCs w:val="18"/>
    </w:rPr>
  </w:style>
  <w:style w:type="character" w:customStyle="1" w:styleId="22">
    <w:name w:val="页脚 Char"/>
    <w:link w:val="8"/>
    <w:qFormat/>
    <w:uiPriority w:val="0"/>
    <w:rPr>
      <w:kern w:val="2"/>
      <w:sz w:val="18"/>
      <w:szCs w:val="18"/>
    </w:rPr>
  </w:style>
  <w:style w:type="character" w:customStyle="1" w:styleId="23">
    <w:name w:val="页眉 Char"/>
    <w:link w:val="9"/>
    <w:qFormat/>
    <w:uiPriority w:val="0"/>
    <w:rPr>
      <w:kern w:val="2"/>
      <w:sz w:val="18"/>
      <w:szCs w:val="18"/>
    </w:rPr>
  </w:style>
  <w:style w:type="character" w:customStyle="1" w:styleId="24">
    <w:name w:val="批注主题 Char"/>
    <w:link w:val="12"/>
    <w:qFormat/>
    <w:uiPriority w:val="0"/>
    <w:rPr>
      <w:b/>
      <w:bCs/>
      <w:kern w:val="2"/>
      <w:sz w:val="21"/>
      <w:szCs w:val="24"/>
    </w:rPr>
  </w:style>
  <w:style w:type="paragraph" w:customStyle="1" w:styleId="25">
    <w:name w:val="公文"/>
    <w:basedOn w:val="1"/>
    <w:qFormat/>
    <w:uiPriority w:val="0"/>
    <w:pPr>
      <w:spacing w:line="600" w:lineRule="exact"/>
      <w:ind w:firstLine="640" w:firstLineChars="200"/>
    </w:pPr>
    <w:rPr>
      <w:rFonts w:ascii="仿宋_GB2312" w:hAnsi="仿宋" w:eastAsia="仿宋_GB2312"/>
      <w:sz w:val="32"/>
      <w:szCs w:val="32"/>
    </w:rPr>
  </w:style>
  <w:style w:type="paragraph" w:customStyle="1" w:styleId="26">
    <w:name w:val="公文正文"/>
    <w:basedOn w:val="1"/>
    <w:qFormat/>
    <w:uiPriority w:val="0"/>
    <w:pPr>
      <w:spacing w:line="600" w:lineRule="exact"/>
      <w:ind w:firstLine="624" w:firstLineChars="200"/>
    </w:pPr>
    <w:rPr>
      <w:rFonts w:ascii="仿宋_GB2312" w:hAnsi="仿宋" w:eastAsia="仿宋_GB2312"/>
      <w:spacing w:val="-4"/>
      <w:kern w:val="0"/>
      <w:sz w:val="32"/>
    </w:rPr>
  </w:style>
  <w:style w:type="paragraph" w:customStyle="1" w:styleId="27">
    <w:name w:val="Char1"/>
    <w:basedOn w:val="5"/>
    <w:qFormat/>
    <w:uiPriority w:val="0"/>
    <w:pPr>
      <w:spacing w:line="360" w:lineRule="auto"/>
      <w:ind w:left="200"/>
    </w:pPr>
    <w:rPr>
      <w:rFonts w:ascii="仿宋_GB2312"/>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国家统计局</Company>
  <Pages>14</Pages>
  <Words>944</Words>
  <Characters>5383</Characters>
  <Lines>44</Lines>
  <Paragraphs>12</Paragraphs>
  <TotalTime>13</TotalTime>
  <ScaleCrop>false</ScaleCrop>
  <LinksUpToDate>false</LinksUpToDate>
  <CharactersWithSpaces>6315</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2022-01-21T08:59:00Z</dcterms:created>
  <dc:creator>kylin</dc:creator>
  <cp:lastModifiedBy>kylin</cp:lastModifiedBy>
  <cp:lastPrinted>2022-01-30T03:27:00Z</cp:lastPrinted>
  <dcterms:modified xsi:type="dcterms:W3CDTF">2022-05-17T15:09:36Z</dcterms:modified>
  <dc:title>2021年国家统计局政府信息公开工作报告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